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微软雅黑" w:hAnsi="微软雅黑" w:eastAsia="微软雅黑"/>
          <w:b/>
          <w:sz w:val="44"/>
          <w:szCs w:val="44"/>
        </w:rPr>
      </w:pPr>
      <w:r>
        <w:rPr>
          <w:rFonts w:hint="eastAsia" w:ascii="微软雅黑" w:hAnsi="微软雅黑" w:eastAsia="微软雅黑"/>
          <w:b/>
          <w:sz w:val="44"/>
          <w:szCs w:val="44"/>
        </w:rPr>
        <w:t>IDC机房管理制度</w:t>
      </w:r>
    </w:p>
    <w:p>
      <w:pPr>
        <w:jc w:val="center"/>
        <w:rPr>
          <w:rFonts w:ascii="微软雅黑" w:hAnsi="微软雅黑" w:eastAsia="微软雅黑"/>
          <w:b/>
          <w:sz w:val="28"/>
          <w:szCs w:val="28"/>
        </w:rPr>
      </w:pPr>
      <w:r>
        <w:rPr>
          <w:rFonts w:hint="eastAsia" w:ascii="微软雅黑" w:hAnsi="微软雅黑" w:eastAsia="微软雅黑"/>
          <w:b/>
          <w:sz w:val="28"/>
          <w:szCs w:val="28"/>
        </w:rPr>
        <w:t>目录</w:t>
      </w:r>
    </w:p>
    <w:p>
      <w:pPr>
        <w:pStyle w:val="17"/>
        <w:tabs>
          <w:tab w:val="right" w:leader="dot" w:pos="8306"/>
        </w:tabs>
      </w:pPr>
      <w:r>
        <w:rPr>
          <w:rFonts w:hint="eastAsia" w:ascii="微软雅黑" w:hAnsi="微软雅黑" w:eastAsia="微软雅黑"/>
          <w:b/>
          <w:sz w:val="44"/>
          <w:szCs w:val="44"/>
        </w:rPr>
        <w:fldChar w:fldCharType="begin"/>
      </w:r>
      <w:r>
        <w:rPr>
          <w:rFonts w:hint="eastAsia" w:ascii="微软雅黑" w:hAnsi="微软雅黑" w:eastAsia="微软雅黑"/>
          <w:b/>
          <w:sz w:val="44"/>
          <w:szCs w:val="44"/>
        </w:rPr>
        <w:instrText xml:space="preserve">TOC \o "1-3" \h \u </w:instrText>
      </w:r>
      <w:r>
        <w:rPr>
          <w:rFonts w:hint="eastAsia" w:ascii="微软雅黑" w:hAnsi="微软雅黑" w:eastAsia="微软雅黑"/>
          <w:b/>
          <w:sz w:val="44"/>
          <w:szCs w:val="44"/>
        </w:rPr>
        <w:fldChar w:fldCharType="separate"/>
      </w:r>
      <w:r>
        <w:fldChar w:fldCharType="begin"/>
      </w:r>
      <w:r>
        <w:instrText xml:space="preserve"> HYPERLINK \l "_Toc21700" </w:instrText>
      </w:r>
      <w:r>
        <w:fldChar w:fldCharType="separate"/>
      </w:r>
      <w:r>
        <w:rPr>
          <w:rFonts w:hint="eastAsia" w:ascii="微软雅黑" w:hAnsi="微软雅黑" w:eastAsia="微软雅黑"/>
          <w:szCs w:val="24"/>
        </w:rPr>
        <w:t>一、 宗旨</w:t>
      </w:r>
      <w:r>
        <w:tab/>
      </w:r>
      <w:r>
        <w:fldChar w:fldCharType="end"/>
      </w:r>
    </w:p>
    <w:p>
      <w:pPr>
        <w:pStyle w:val="17"/>
        <w:tabs>
          <w:tab w:val="right" w:leader="dot" w:pos="8306"/>
        </w:tabs>
      </w:pPr>
      <w:r>
        <w:fldChar w:fldCharType="begin"/>
      </w:r>
      <w:r>
        <w:instrText xml:space="preserve"> HYPERLINK \l "_Toc29498" </w:instrText>
      </w:r>
      <w:r>
        <w:fldChar w:fldCharType="separate"/>
      </w:r>
      <w:r>
        <w:rPr>
          <w:rFonts w:hint="eastAsia" w:ascii="微软雅黑" w:hAnsi="微软雅黑" w:eastAsia="微软雅黑"/>
          <w:szCs w:val="24"/>
        </w:rPr>
        <w:t>二、 目标</w:t>
      </w:r>
      <w:r>
        <w:tab/>
      </w:r>
      <w:r>
        <w:fldChar w:fldCharType="end"/>
      </w:r>
    </w:p>
    <w:p>
      <w:pPr>
        <w:pStyle w:val="17"/>
        <w:tabs>
          <w:tab w:val="right" w:leader="dot" w:pos="8306"/>
        </w:tabs>
      </w:pPr>
      <w:r>
        <w:fldChar w:fldCharType="begin"/>
      </w:r>
      <w:r>
        <w:instrText xml:space="preserve"> HYPERLINK \l "_Toc26887" </w:instrText>
      </w:r>
      <w:r>
        <w:fldChar w:fldCharType="separate"/>
      </w:r>
      <w:r>
        <w:rPr>
          <w:rFonts w:hint="eastAsia" w:ascii="微软雅黑" w:hAnsi="微软雅黑" w:eastAsia="微软雅黑"/>
          <w:szCs w:val="24"/>
        </w:rPr>
        <w:t>三、 内容</w:t>
      </w:r>
      <w:r>
        <w:tab/>
      </w:r>
      <w:r>
        <w:fldChar w:fldCharType="end"/>
      </w:r>
    </w:p>
    <w:p>
      <w:pPr>
        <w:pStyle w:val="17"/>
        <w:tabs>
          <w:tab w:val="right" w:leader="dot" w:pos="8306"/>
        </w:tabs>
      </w:pPr>
      <w:r>
        <w:fldChar w:fldCharType="begin"/>
      </w:r>
      <w:r>
        <w:instrText xml:space="preserve"> HYPERLINK \l "_Toc7487" </w:instrText>
      </w:r>
      <w:r>
        <w:fldChar w:fldCharType="separate"/>
      </w:r>
      <w:r>
        <w:rPr>
          <w:rFonts w:ascii="微软雅黑" w:hAnsi="微软雅黑" w:eastAsia="微软雅黑"/>
          <w:bCs/>
          <w:kern w:val="32"/>
          <w:szCs w:val="32"/>
        </w:rPr>
        <w:t xml:space="preserve">1． </w:t>
      </w:r>
      <w:r>
        <w:rPr>
          <w:rFonts w:hint="eastAsia" w:ascii="微软雅黑" w:hAnsi="微软雅黑" w:eastAsia="微软雅黑"/>
        </w:rPr>
        <w:t>IDC机房管理</w:t>
      </w:r>
      <w:r>
        <w:tab/>
      </w:r>
      <w:r>
        <w:fldChar w:fldCharType="end"/>
      </w:r>
    </w:p>
    <w:p>
      <w:pPr>
        <w:pStyle w:val="17"/>
        <w:tabs>
          <w:tab w:val="right" w:leader="dot" w:pos="8306"/>
        </w:tabs>
      </w:pPr>
      <w:r>
        <w:fldChar w:fldCharType="begin"/>
      </w:r>
      <w:r>
        <w:instrText xml:space="preserve"> HYPERLINK \l "_Toc25644" </w:instrText>
      </w:r>
      <w:r>
        <w:fldChar w:fldCharType="separate"/>
      </w:r>
      <w:r>
        <w:rPr>
          <w:rFonts w:ascii="微软雅黑" w:hAnsi="微软雅黑" w:eastAsia="微软雅黑"/>
          <w:bCs/>
          <w:kern w:val="32"/>
          <w:szCs w:val="32"/>
        </w:rPr>
        <w:t xml:space="preserve">2． </w:t>
      </w:r>
      <w:r>
        <w:rPr>
          <w:rFonts w:hint="eastAsia" w:ascii="微软雅黑" w:hAnsi="微软雅黑" w:eastAsia="微软雅黑"/>
        </w:rPr>
        <w:t>IDC机房操作管理</w:t>
      </w:r>
      <w:r>
        <w:tab/>
      </w:r>
      <w:r>
        <w:fldChar w:fldCharType="end"/>
      </w:r>
    </w:p>
    <w:p>
      <w:pPr>
        <w:pStyle w:val="17"/>
        <w:tabs>
          <w:tab w:val="right" w:leader="dot" w:pos="8306"/>
        </w:tabs>
      </w:pPr>
      <w:r>
        <w:fldChar w:fldCharType="begin"/>
      </w:r>
      <w:r>
        <w:instrText xml:space="preserve"> HYPERLINK \l "_Toc14168" </w:instrText>
      </w:r>
      <w:r>
        <w:fldChar w:fldCharType="separate"/>
      </w:r>
      <w:r>
        <w:rPr>
          <w:rFonts w:ascii="微软雅黑" w:hAnsi="微软雅黑" w:eastAsia="微软雅黑"/>
          <w:bCs/>
          <w:kern w:val="32"/>
          <w:szCs w:val="32"/>
        </w:rPr>
        <w:t xml:space="preserve">3． </w:t>
      </w:r>
      <w:r>
        <w:rPr>
          <w:rFonts w:hint="eastAsia" w:ascii="微软雅黑" w:hAnsi="微软雅黑" w:eastAsia="微软雅黑"/>
        </w:rPr>
        <w:t>IDC机房网络管理</w:t>
      </w:r>
      <w:r>
        <w:tab/>
      </w:r>
      <w:r>
        <w:fldChar w:fldCharType="end"/>
      </w:r>
    </w:p>
    <w:p>
      <w:pPr>
        <w:pStyle w:val="17"/>
        <w:tabs>
          <w:tab w:val="right" w:leader="dot" w:pos="8306"/>
        </w:tabs>
      </w:pPr>
      <w:r>
        <w:fldChar w:fldCharType="begin"/>
      </w:r>
      <w:r>
        <w:instrText xml:space="preserve"> HYPERLINK \l "_Toc3568" </w:instrText>
      </w:r>
      <w:r>
        <w:fldChar w:fldCharType="separate"/>
      </w:r>
      <w:r>
        <w:rPr>
          <w:rFonts w:ascii="微软雅黑" w:hAnsi="微软雅黑" w:eastAsia="微软雅黑"/>
          <w:bCs/>
          <w:kern w:val="32"/>
          <w:szCs w:val="32"/>
        </w:rPr>
        <w:t xml:space="preserve">4． </w:t>
      </w:r>
      <w:r>
        <w:rPr>
          <w:rFonts w:hint="eastAsia" w:ascii="微软雅黑" w:hAnsi="微软雅黑" w:eastAsia="微软雅黑"/>
        </w:rPr>
        <w:t>IDC机房服务管理</w:t>
      </w:r>
      <w:r>
        <w:tab/>
      </w:r>
      <w:r>
        <w:fldChar w:fldCharType="end"/>
      </w:r>
    </w:p>
    <w:p>
      <w:pPr>
        <w:pStyle w:val="17"/>
        <w:tabs>
          <w:tab w:val="right" w:leader="dot" w:pos="8306"/>
        </w:tabs>
      </w:pPr>
      <w:r>
        <w:fldChar w:fldCharType="begin"/>
      </w:r>
      <w:r>
        <w:instrText xml:space="preserve"> HYPERLINK \l "_Toc513" </w:instrText>
      </w:r>
      <w:r>
        <w:fldChar w:fldCharType="separate"/>
      </w:r>
      <w:r>
        <w:rPr>
          <w:rFonts w:ascii="微软雅黑" w:hAnsi="微软雅黑" w:eastAsia="微软雅黑"/>
          <w:bCs/>
          <w:kern w:val="32"/>
          <w:szCs w:val="32"/>
        </w:rPr>
        <w:t xml:space="preserve">5． </w:t>
      </w:r>
      <w:r>
        <w:rPr>
          <w:rFonts w:hint="eastAsia" w:ascii="微软雅黑" w:hAnsi="微软雅黑" w:eastAsia="微软雅黑"/>
        </w:rPr>
        <w:t>IDC机房信息安全管理</w:t>
      </w:r>
      <w:r>
        <w:tab/>
      </w:r>
      <w:r>
        <w:fldChar w:fldCharType="end"/>
      </w:r>
    </w:p>
    <w:p>
      <w:pPr>
        <w:pStyle w:val="17"/>
        <w:tabs>
          <w:tab w:val="right" w:leader="dot" w:pos="8306"/>
        </w:tabs>
      </w:pPr>
      <w:r>
        <w:fldChar w:fldCharType="begin"/>
      </w:r>
      <w:r>
        <w:instrText xml:space="preserve"> HYPERLINK \l "_Toc17837" </w:instrText>
      </w:r>
      <w:r>
        <w:fldChar w:fldCharType="separate"/>
      </w:r>
      <w:r>
        <w:rPr>
          <w:rFonts w:ascii="微软雅黑" w:hAnsi="微软雅黑" w:eastAsia="微软雅黑"/>
          <w:bCs/>
          <w:kern w:val="32"/>
          <w:szCs w:val="32"/>
        </w:rPr>
        <w:t xml:space="preserve">6． </w:t>
      </w:r>
      <w:r>
        <w:rPr>
          <w:rFonts w:hint="eastAsia" w:ascii="微软雅黑" w:hAnsi="微软雅黑" w:eastAsia="微软雅黑"/>
        </w:rPr>
        <w:t>IDC机房资产管理</w:t>
      </w:r>
      <w:r>
        <w:tab/>
      </w:r>
      <w:r>
        <w:fldChar w:fldCharType="end"/>
      </w:r>
    </w:p>
    <w:p>
      <w:pPr>
        <w:pStyle w:val="17"/>
        <w:tabs>
          <w:tab w:val="right" w:leader="dot" w:pos="8306"/>
        </w:tabs>
      </w:pPr>
      <w:r>
        <w:fldChar w:fldCharType="begin"/>
      </w:r>
      <w:r>
        <w:instrText xml:space="preserve"> HYPERLINK \l "_Toc17599" </w:instrText>
      </w:r>
      <w:r>
        <w:fldChar w:fldCharType="separate"/>
      </w:r>
      <w:r>
        <w:rPr>
          <w:rFonts w:ascii="微软雅黑" w:hAnsi="微软雅黑" w:eastAsia="微软雅黑"/>
          <w:bCs/>
          <w:kern w:val="32"/>
          <w:szCs w:val="32"/>
        </w:rPr>
        <w:t xml:space="preserve">7． </w:t>
      </w:r>
      <w:r>
        <w:rPr>
          <w:rFonts w:hint="eastAsia" w:ascii="微软雅黑" w:hAnsi="微软雅黑" w:eastAsia="微软雅黑"/>
        </w:rPr>
        <w:t>IDC机房应急管理</w:t>
      </w:r>
      <w:r>
        <w:tab/>
      </w:r>
      <w:r>
        <w:fldChar w:fldCharType="end"/>
      </w:r>
    </w:p>
    <w:p>
      <w:pPr>
        <w:pStyle w:val="17"/>
        <w:tabs>
          <w:tab w:val="right" w:leader="dot" w:pos="8306"/>
        </w:tabs>
      </w:pPr>
      <w:r>
        <w:fldChar w:fldCharType="begin"/>
      </w:r>
      <w:r>
        <w:instrText xml:space="preserve"> HYPERLINK \l "_Toc11323" </w:instrText>
      </w:r>
      <w:r>
        <w:fldChar w:fldCharType="separate"/>
      </w:r>
      <w:r>
        <w:rPr>
          <w:rFonts w:hint="eastAsia" w:ascii="微软雅黑" w:hAnsi="微软雅黑" w:eastAsia="微软雅黑"/>
          <w:szCs w:val="24"/>
        </w:rPr>
        <w:t>四、 处罚条例</w:t>
      </w:r>
      <w:r>
        <w:tab/>
      </w:r>
      <w:r>
        <w:fldChar w:fldCharType="end"/>
      </w:r>
    </w:p>
    <w:p>
      <w:pPr>
        <w:pStyle w:val="17"/>
        <w:tabs>
          <w:tab w:val="right" w:leader="dot" w:pos="8306"/>
        </w:tabs>
      </w:pPr>
      <w:r>
        <w:fldChar w:fldCharType="begin"/>
      </w:r>
      <w:r>
        <w:instrText xml:space="preserve"> HYPERLINK \l "_Toc16091" </w:instrText>
      </w:r>
      <w:r>
        <w:fldChar w:fldCharType="separate"/>
      </w:r>
      <w:r>
        <w:rPr>
          <w:rFonts w:hint="eastAsia" w:ascii="微软雅黑" w:hAnsi="微软雅黑" w:eastAsia="微软雅黑"/>
          <w:szCs w:val="24"/>
        </w:rPr>
        <w:t>五、 附录</w:t>
      </w:r>
      <w:r>
        <w:tab/>
      </w:r>
      <w:r>
        <w:fldChar w:fldCharType="end"/>
      </w:r>
    </w:p>
    <w:p>
      <w:pPr>
        <w:jc w:val="center"/>
        <w:rPr>
          <w:rFonts w:ascii="微软雅黑" w:hAnsi="微软雅黑" w:eastAsia="微软雅黑"/>
          <w:b/>
          <w:sz w:val="44"/>
          <w:szCs w:val="44"/>
        </w:rPr>
      </w:pPr>
      <w:r>
        <w:rPr>
          <w:rFonts w:hint="eastAsia" w:ascii="微软雅黑" w:hAnsi="微软雅黑" w:eastAsia="微软雅黑"/>
          <w:szCs w:val="44"/>
        </w:rPr>
        <w:fldChar w:fldCharType="end"/>
      </w:r>
    </w:p>
    <w:p>
      <w:pPr>
        <w:numPr>
          <w:ilvl w:val="0"/>
          <w:numId w:val="1"/>
        </w:numPr>
        <w:jc w:val="left"/>
        <w:outlineLvl w:val="0"/>
        <w:rPr>
          <w:rFonts w:ascii="微软雅黑" w:hAnsi="微软雅黑" w:eastAsia="微软雅黑"/>
          <w:b/>
          <w:sz w:val="24"/>
          <w:szCs w:val="24"/>
        </w:rPr>
      </w:pPr>
      <w:bookmarkStart w:id="0" w:name="_Toc21700"/>
      <w:r>
        <w:rPr>
          <w:rFonts w:hint="eastAsia" w:ascii="微软雅黑" w:hAnsi="微软雅黑" w:eastAsia="微软雅黑"/>
          <w:b/>
          <w:sz w:val="24"/>
          <w:szCs w:val="24"/>
        </w:rPr>
        <w:t>宗旨</w:t>
      </w:r>
      <w:bookmarkEnd w:id="0"/>
    </w:p>
    <w:p>
      <w:pPr>
        <w:ind w:left="420"/>
        <w:jc w:val="left"/>
        <w:rPr>
          <w:rFonts w:ascii="微软雅黑" w:hAnsi="微软雅黑" w:eastAsia="微软雅黑"/>
          <w:sz w:val="24"/>
          <w:szCs w:val="24"/>
        </w:rPr>
      </w:pPr>
      <w:r>
        <w:rPr>
          <w:rFonts w:hint="eastAsia" w:ascii="微软雅黑" w:hAnsi="微软雅黑" w:eastAsia="微软雅黑"/>
          <w:sz w:val="24"/>
          <w:szCs w:val="24"/>
        </w:rPr>
        <w:t>为了规范蓝队网络公司IDC业务的日常运营和管理，提高公司IDC业务的运营水平和竞争力，更好地为蓝队网络已有客户提供快捷、高效、稳定的技术服务，同时彰显蓝队网络技术团队的整体技术和服务水平，以优质的服务质量和雄厚的技术保障为赢得更多潜在客户特制定本IDC机房管理制度。</w:t>
      </w:r>
    </w:p>
    <w:p>
      <w:pPr>
        <w:numPr>
          <w:ilvl w:val="0"/>
          <w:numId w:val="1"/>
        </w:numPr>
        <w:jc w:val="left"/>
        <w:outlineLvl w:val="0"/>
        <w:rPr>
          <w:rFonts w:ascii="微软雅黑" w:hAnsi="微软雅黑" w:eastAsia="微软雅黑"/>
          <w:b/>
          <w:sz w:val="24"/>
          <w:szCs w:val="24"/>
        </w:rPr>
      </w:pPr>
      <w:bookmarkStart w:id="1" w:name="_Toc29498"/>
      <w:r>
        <w:rPr>
          <w:rFonts w:hint="eastAsia" w:ascii="微软雅黑" w:hAnsi="微软雅黑" w:eastAsia="微软雅黑"/>
          <w:b/>
          <w:sz w:val="24"/>
          <w:szCs w:val="24"/>
        </w:rPr>
        <w:t>目标</w:t>
      </w:r>
      <w:bookmarkEnd w:id="1"/>
    </w:p>
    <w:p>
      <w:pPr>
        <w:ind w:left="420"/>
        <w:jc w:val="left"/>
        <w:rPr>
          <w:rFonts w:ascii="微软雅黑" w:hAnsi="微软雅黑" w:eastAsia="微软雅黑"/>
          <w:sz w:val="24"/>
          <w:szCs w:val="24"/>
        </w:rPr>
      </w:pPr>
      <w:r>
        <w:rPr>
          <w:rFonts w:hint="eastAsia" w:ascii="微软雅黑" w:hAnsi="微软雅黑" w:eastAsia="微软雅黑"/>
          <w:sz w:val="24"/>
          <w:szCs w:val="24"/>
        </w:rPr>
        <w:t>技术部所有员工必须严格遵守本管理制度，保证所有操作符合流程和操作手册的规定，做到“有章可循，有记录可查</w:t>
      </w:r>
      <w:r>
        <w:rPr>
          <w:rFonts w:ascii="微软雅黑" w:hAnsi="微软雅黑" w:eastAsia="微软雅黑"/>
          <w:sz w:val="24"/>
          <w:szCs w:val="24"/>
        </w:rPr>
        <w:t>”</w:t>
      </w:r>
      <w:r>
        <w:rPr>
          <w:rFonts w:hint="eastAsia" w:ascii="微软雅黑" w:hAnsi="微软雅黑" w:eastAsia="微软雅黑"/>
          <w:sz w:val="24"/>
          <w:szCs w:val="24"/>
        </w:rPr>
        <w:t>以实现规范化操作和管理。</w:t>
      </w:r>
    </w:p>
    <w:p>
      <w:pPr>
        <w:numPr>
          <w:ilvl w:val="0"/>
          <w:numId w:val="1"/>
        </w:numPr>
        <w:jc w:val="left"/>
        <w:outlineLvl w:val="0"/>
        <w:rPr>
          <w:rFonts w:ascii="微软雅黑" w:hAnsi="微软雅黑" w:eastAsia="微软雅黑"/>
          <w:b/>
          <w:sz w:val="24"/>
          <w:szCs w:val="24"/>
        </w:rPr>
      </w:pPr>
      <w:bookmarkStart w:id="2" w:name="_Toc26887"/>
      <w:r>
        <w:rPr>
          <w:rFonts w:hint="eastAsia" w:ascii="微软雅黑" w:hAnsi="微软雅黑" w:eastAsia="微软雅黑"/>
          <w:b/>
          <w:sz w:val="24"/>
          <w:szCs w:val="24"/>
        </w:rPr>
        <w:t>内容</w:t>
      </w:r>
      <w:bookmarkEnd w:id="2"/>
    </w:p>
    <w:p>
      <w:pPr>
        <w:ind w:left="420"/>
        <w:jc w:val="left"/>
        <w:rPr>
          <w:rFonts w:ascii="微软雅黑" w:hAnsi="微软雅黑" w:eastAsia="微软雅黑"/>
          <w:sz w:val="24"/>
          <w:szCs w:val="24"/>
        </w:rPr>
      </w:pPr>
      <w:r>
        <w:rPr>
          <w:rFonts w:hint="eastAsia" w:ascii="微软雅黑" w:hAnsi="微软雅黑" w:eastAsia="微软雅黑"/>
          <w:sz w:val="24"/>
          <w:szCs w:val="24"/>
        </w:rPr>
        <w:t>I</w:t>
      </w:r>
      <w:r>
        <w:rPr>
          <w:rFonts w:ascii="微软雅黑" w:hAnsi="微软雅黑" w:eastAsia="微软雅黑"/>
          <w:sz w:val="24"/>
          <w:szCs w:val="24"/>
        </w:rPr>
        <w:t>DC</w:t>
      </w:r>
      <w:r>
        <w:rPr>
          <w:rFonts w:hint="eastAsia" w:ascii="微软雅黑" w:hAnsi="微软雅黑" w:eastAsia="微软雅黑"/>
          <w:sz w:val="24"/>
          <w:szCs w:val="24"/>
        </w:rPr>
        <w:t>机房管理制度主要内容如下：</w:t>
      </w:r>
    </w:p>
    <w:p>
      <w:pPr>
        <w:numPr>
          <w:ilvl w:val="0"/>
          <w:numId w:val="2"/>
        </w:num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IDC机房管理</w:t>
      </w:r>
    </w:p>
    <w:p>
      <w:pPr>
        <w:numPr>
          <w:ilvl w:val="0"/>
          <w:numId w:val="2"/>
        </w:numPr>
        <w:ind w:firstLine="480" w:firstLineChars="200"/>
        <w:jc w:val="left"/>
        <w:rPr>
          <w:rFonts w:ascii="微软雅黑" w:hAnsi="微软雅黑" w:eastAsia="微软雅黑"/>
          <w:sz w:val="24"/>
          <w:szCs w:val="24"/>
        </w:rPr>
      </w:pPr>
      <w:r>
        <w:rPr>
          <w:rFonts w:ascii="微软雅黑" w:hAnsi="微软雅黑" w:eastAsia="微软雅黑"/>
          <w:sz w:val="24"/>
          <w:szCs w:val="24"/>
        </w:rPr>
        <w:t>IDC</w:t>
      </w:r>
      <w:r>
        <w:rPr>
          <w:rFonts w:hint="eastAsia" w:ascii="微软雅黑" w:hAnsi="微软雅黑" w:eastAsia="微软雅黑"/>
          <w:sz w:val="24"/>
          <w:szCs w:val="24"/>
        </w:rPr>
        <w:t>机房操作管理</w:t>
      </w:r>
    </w:p>
    <w:p>
      <w:pPr>
        <w:numPr>
          <w:ilvl w:val="0"/>
          <w:numId w:val="2"/>
        </w:numPr>
        <w:ind w:firstLine="480" w:firstLineChars="200"/>
        <w:jc w:val="left"/>
        <w:rPr>
          <w:rFonts w:ascii="微软雅黑" w:hAnsi="微软雅黑" w:eastAsia="微软雅黑"/>
          <w:sz w:val="24"/>
          <w:szCs w:val="24"/>
        </w:rPr>
      </w:pPr>
      <w:r>
        <w:rPr>
          <w:rFonts w:ascii="微软雅黑" w:hAnsi="微软雅黑" w:eastAsia="微软雅黑"/>
          <w:sz w:val="24"/>
          <w:szCs w:val="24"/>
        </w:rPr>
        <w:t>IDC</w:t>
      </w:r>
      <w:r>
        <w:rPr>
          <w:rFonts w:hint="eastAsia" w:ascii="微软雅黑" w:hAnsi="微软雅黑" w:eastAsia="微软雅黑"/>
          <w:sz w:val="24"/>
          <w:szCs w:val="24"/>
        </w:rPr>
        <w:t>机房网络管理</w:t>
      </w:r>
    </w:p>
    <w:p>
      <w:pPr>
        <w:numPr>
          <w:ilvl w:val="0"/>
          <w:numId w:val="2"/>
        </w:num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IDC机房服务管理</w:t>
      </w:r>
    </w:p>
    <w:p>
      <w:pPr>
        <w:numPr>
          <w:ilvl w:val="0"/>
          <w:numId w:val="2"/>
        </w:numPr>
        <w:ind w:firstLine="480" w:firstLineChars="200"/>
        <w:jc w:val="left"/>
        <w:rPr>
          <w:rFonts w:ascii="微软雅黑" w:hAnsi="微软雅黑" w:eastAsia="微软雅黑"/>
          <w:sz w:val="24"/>
          <w:szCs w:val="24"/>
        </w:rPr>
      </w:pPr>
      <w:r>
        <w:rPr>
          <w:rFonts w:ascii="微软雅黑" w:hAnsi="微软雅黑" w:eastAsia="微软雅黑"/>
          <w:sz w:val="24"/>
          <w:szCs w:val="24"/>
        </w:rPr>
        <w:t>IDC</w:t>
      </w:r>
      <w:r>
        <w:rPr>
          <w:rFonts w:hint="eastAsia" w:ascii="微软雅黑" w:hAnsi="微软雅黑" w:eastAsia="微软雅黑"/>
          <w:sz w:val="24"/>
          <w:szCs w:val="24"/>
        </w:rPr>
        <w:t>机房信息安全管理</w:t>
      </w:r>
    </w:p>
    <w:p>
      <w:pPr>
        <w:numPr>
          <w:ilvl w:val="0"/>
          <w:numId w:val="2"/>
        </w:numPr>
        <w:ind w:firstLine="480" w:firstLineChars="200"/>
        <w:jc w:val="left"/>
        <w:rPr>
          <w:rFonts w:ascii="微软雅黑" w:hAnsi="微软雅黑" w:eastAsia="微软雅黑"/>
          <w:sz w:val="24"/>
          <w:szCs w:val="24"/>
        </w:rPr>
      </w:pPr>
      <w:r>
        <w:rPr>
          <w:rFonts w:ascii="微软雅黑" w:hAnsi="微软雅黑" w:eastAsia="微软雅黑"/>
          <w:sz w:val="24"/>
          <w:szCs w:val="24"/>
        </w:rPr>
        <w:t>IDC</w:t>
      </w:r>
      <w:r>
        <w:rPr>
          <w:rFonts w:hint="eastAsia" w:ascii="微软雅黑" w:hAnsi="微软雅黑" w:eastAsia="微软雅黑"/>
          <w:sz w:val="24"/>
          <w:szCs w:val="24"/>
        </w:rPr>
        <w:t>机房资产管理</w:t>
      </w:r>
    </w:p>
    <w:p>
      <w:pPr>
        <w:numPr>
          <w:ilvl w:val="0"/>
          <w:numId w:val="2"/>
        </w:num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IDC机房应急管理</w:t>
      </w:r>
    </w:p>
    <w:p>
      <w:pPr>
        <w:pStyle w:val="2"/>
        <w:numPr>
          <w:ilvl w:val="0"/>
          <w:numId w:val="3"/>
        </w:numPr>
        <w:ind w:left="425" w:firstLine="0"/>
        <w:rPr>
          <w:rFonts w:ascii="微软雅黑" w:hAnsi="微软雅黑" w:eastAsia="微软雅黑"/>
        </w:rPr>
      </w:pPr>
      <w:bookmarkStart w:id="3" w:name="_Toc7487"/>
      <w:r>
        <w:rPr>
          <w:rFonts w:hint="eastAsia" w:ascii="微软雅黑" w:hAnsi="微软雅黑" w:eastAsia="微软雅黑"/>
        </w:rPr>
        <w:t>IDC机房管理</w:t>
      </w:r>
      <w:bookmarkEnd w:id="3"/>
    </w:p>
    <w:p>
      <w:pPr>
        <w:numPr>
          <w:ilvl w:val="0"/>
          <w:numId w:val="4"/>
        </w:numPr>
        <w:ind w:left="1140"/>
        <w:rPr>
          <w:rFonts w:ascii="微软雅黑" w:hAnsi="微软雅黑" w:eastAsia="微软雅黑"/>
        </w:rPr>
      </w:pPr>
      <w:r>
        <w:rPr>
          <w:rFonts w:hint="eastAsia" w:ascii="微软雅黑" w:hAnsi="微软雅黑" w:eastAsia="微软雅黑"/>
        </w:rPr>
        <w:t>蓝队网络IDC</w:t>
      </w:r>
      <w:r>
        <w:rPr>
          <w:rFonts w:ascii="微软雅黑" w:hAnsi="微软雅黑" w:eastAsia="微软雅黑"/>
        </w:rPr>
        <w:t>机房</w:t>
      </w:r>
      <w:r>
        <w:rPr>
          <w:rFonts w:hint="eastAsia" w:ascii="微软雅黑" w:hAnsi="微软雅黑" w:eastAsia="微软雅黑"/>
        </w:rPr>
        <w:t>为租赁昆明电信IDC机房，</w:t>
      </w:r>
      <w:r>
        <w:rPr>
          <w:rFonts w:ascii="微软雅黑" w:hAnsi="微软雅黑" w:eastAsia="微软雅黑"/>
        </w:rPr>
        <w:t>由</w:t>
      </w:r>
      <w:r>
        <w:rPr>
          <w:rFonts w:hint="eastAsia" w:ascii="微软雅黑" w:hAnsi="微软雅黑" w:eastAsia="微软雅黑"/>
        </w:rPr>
        <w:t>昆明电信</w:t>
      </w:r>
      <w:r>
        <w:rPr>
          <w:rFonts w:ascii="微软雅黑" w:hAnsi="微软雅黑" w:eastAsia="微软雅黑"/>
        </w:rPr>
        <w:t>专人7*24</w:t>
      </w:r>
      <w:r>
        <w:rPr>
          <w:rFonts w:hint="eastAsia" w:ascii="微软雅黑" w:hAnsi="微软雅黑" w:eastAsia="微软雅黑"/>
        </w:rPr>
        <w:t>小时</w:t>
      </w:r>
      <w:r>
        <w:rPr>
          <w:rFonts w:ascii="微软雅黑" w:hAnsi="微软雅黑" w:eastAsia="微软雅黑"/>
        </w:rPr>
        <w:t>负责</w:t>
      </w:r>
      <w:r>
        <w:rPr>
          <w:rFonts w:hint="eastAsia" w:ascii="微软雅黑" w:hAnsi="微软雅黑" w:eastAsia="微软雅黑"/>
        </w:rPr>
        <w:t>机房基础设施环境的</w:t>
      </w:r>
      <w:r>
        <w:rPr>
          <w:rFonts w:ascii="微软雅黑" w:hAnsi="微软雅黑" w:eastAsia="微软雅黑"/>
        </w:rPr>
        <w:t>管理和维护(包括温度、湿度、电力系统、</w:t>
      </w:r>
      <w:r>
        <w:rPr>
          <w:rFonts w:hint="eastAsia" w:ascii="微软雅黑" w:hAnsi="微软雅黑" w:eastAsia="微软雅黑"/>
        </w:rPr>
        <w:t>空调系统、保洁卫生</w:t>
      </w:r>
      <w:r>
        <w:rPr>
          <w:rFonts w:ascii="微软雅黑" w:hAnsi="微软雅黑" w:eastAsia="微软雅黑"/>
        </w:rPr>
        <w:t>等)。</w:t>
      </w:r>
    </w:p>
    <w:p>
      <w:pPr>
        <w:numPr>
          <w:ilvl w:val="0"/>
          <w:numId w:val="4"/>
        </w:numPr>
        <w:ind w:left="1140"/>
        <w:rPr>
          <w:rFonts w:ascii="微软雅黑" w:hAnsi="微软雅黑" w:eastAsia="微软雅黑"/>
        </w:rPr>
      </w:pPr>
      <w:r>
        <w:rPr>
          <w:rFonts w:hint="eastAsia" w:ascii="微软雅黑" w:hAnsi="微软雅黑" w:eastAsia="微软雅黑"/>
        </w:rPr>
        <w:t>进入IDC机房前，需先向昆明电信发送请求维护工单，</w:t>
      </w:r>
      <w:r>
        <w:rPr>
          <w:rFonts w:ascii="微软雅黑" w:hAnsi="微软雅黑" w:eastAsia="微软雅黑"/>
        </w:rPr>
        <w:t>经</w:t>
      </w:r>
      <w:r>
        <w:rPr>
          <w:rFonts w:hint="eastAsia" w:ascii="微软雅黑" w:hAnsi="微软雅黑" w:eastAsia="微软雅黑"/>
        </w:rPr>
        <w:t>昆明电信相关</w:t>
      </w:r>
      <w:r>
        <w:rPr>
          <w:rFonts w:ascii="微软雅黑" w:hAnsi="微软雅黑" w:eastAsia="微软雅黑"/>
        </w:rPr>
        <w:t>负责人批准，</w:t>
      </w:r>
      <w:r>
        <w:rPr>
          <w:rFonts w:hint="eastAsia" w:ascii="微软雅黑" w:hAnsi="微软雅黑" w:eastAsia="微软雅黑"/>
        </w:rPr>
        <w:t>到达值班中心后，需出示身份证件并</w:t>
      </w:r>
      <w:r>
        <w:rPr>
          <w:rFonts w:ascii="微软雅黑" w:hAnsi="微软雅黑" w:eastAsia="微软雅黑"/>
        </w:rPr>
        <w:t>填写登记表后方可进入。</w:t>
      </w:r>
    </w:p>
    <w:p>
      <w:pPr>
        <w:numPr>
          <w:ilvl w:val="0"/>
          <w:numId w:val="4"/>
        </w:numPr>
        <w:ind w:left="1140"/>
        <w:rPr>
          <w:rFonts w:ascii="微软雅黑" w:hAnsi="微软雅黑" w:eastAsia="微软雅黑"/>
        </w:rPr>
      </w:pPr>
      <w:r>
        <w:rPr>
          <w:rFonts w:hint="eastAsia" w:ascii="微软雅黑" w:hAnsi="微软雅黑" w:eastAsia="微软雅黑"/>
        </w:rPr>
        <w:t>凡</w:t>
      </w:r>
      <w:r>
        <w:rPr>
          <w:rFonts w:ascii="微软雅黑" w:hAnsi="微软雅黑" w:eastAsia="微软雅黑"/>
        </w:rPr>
        <w:t>进入机房人员应遵守</w:t>
      </w:r>
      <w:r>
        <w:rPr>
          <w:rFonts w:hint="eastAsia" w:ascii="微软雅黑" w:hAnsi="微软雅黑" w:eastAsia="微软雅黑"/>
        </w:rPr>
        <w:t>昆明电信IDC机房和蓝队网络IDC</w:t>
      </w:r>
      <w:r>
        <w:rPr>
          <w:rFonts w:ascii="微软雅黑" w:hAnsi="微软雅黑" w:eastAsia="微软雅黑"/>
        </w:rPr>
        <w:t>机房</w:t>
      </w:r>
      <w:r>
        <w:rPr>
          <w:rFonts w:hint="eastAsia" w:ascii="微软雅黑" w:hAnsi="微软雅黑" w:eastAsia="微软雅黑"/>
        </w:rPr>
        <w:t>的</w:t>
      </w:r>
      <w:r>
        <w:rPr>
          <w:rFonts w:ascii="微软雅黑" w:hAnsi="微软雅黑" w:eastAsia="微软雅黑"/>
        </w:rPr>
        <w:t>管理制度</w:t>
      </w:r>
      <w:r>
        <w:rPr>
          <w:rFonts w:hint="eastAsia" w:ascii="微软雅黑" w:hAnsi="微软雅黑" w:eastAsia="微软雅黑"/>
        </w:rPr>
        <w:t>；带客户进机房参观或进行维护操作时，客户需在蓝队网络工作人员的全程陪同下，进行参观或指导维护作业，</w:t>
      </w:r>
      <w:r>
        <w:rPr>
          <w:rFonts w:ascii="微软雅黑" w:hAnsi="微软雅黑" w:eastAsia="微软雅黑"/>
        </w:rPr>
        <w:t>未经许可</w:t>
      </w:r>
      <w:r>
        <w:rPr>
          <w:rFonts w:hint="eastAsia" w:ascii="微软雅黑" w:hAnsi="微软雅黑" w:eastAsia="微软雅黑"/>
        </w:rPr>
        <w:t>客户</w:t>
      </w:r>
      <w:r>
        <w:rPr>
          <w:rFonts w:ascii="微软雅黑" w:hAnsi="微软雅黑" w:eastAsia="微软雅黑"/>
        </w:rPr>
        <w:t>不得擅自</w:t>
      </w:r>
      <w:r>
        <w:rPr>
          <w:rFonts w:hint="eastAsia" w:ascii="微软雅黑" w:hAnsi="微软雅黑" w:eastAsia="微软雅黑"/>
        </w:rPr>
        <w:t>进入机房</w:t>
      </w:r>
      <w:r>
        <w:rPr>
          <w:rFonts w:ascii="微软雅黑" w:hAnsi="微软雅黑" w:eastAsia="微软雅黑"/>
        </w:rPr>
        <w:t>上机操作和对运行设备</w:t>
      </w:r>
      <w:r>
        <w:rPr>
          <w:rFonts w:hint="eastAsia" w:ascii="微软雅黑" w:hAnsi="微软雅黑" w:eastAsia="微软雅黑"/>
        </w:rPr>
        <w:t>的</w:t>
      </w:r>
      <w:r>
        <w:rPr>
          <w:rFonts w:ascii="微软雅黑" w:hAnsi="微软雅黑" w:eastAsia="微软雅黑"/>
        </w:rPr>
        <w:t>各种配置进行更改。</w:t>
      </w:r>
    </w:p>
    <w:p>
      <w:pPr>
        <w:numPr>
          <w:ilvl w:val="0"/>
          <w:numId w:val="4"/>
        </w:numPr>
        <w:ind w:left="1140"/>
        <w:rPr>
          <w:rFonts w:ascii="微软雅黑" w:hAnsi="微软雅黑" w:eastAsia="微软雅黑"/>
        </w:rPr>
      </w:pPr>
      <w:r>
        <w:rPr>
          <w:rFonts w:hint="eastAsia" w:ascii="微软雅黑" w:hAnsi="微软雅黑" w:eastAsia="微软雅黑"/>
        </w:rPr>
        <w:t>如因设备无法搬出维护，第三方人员或厂商必须进入机房维护的情况，需先向昆明电信申请并说明情况，遵照电信相关流程，待批准后发送维护请求工单方可作业。</w:t>
      </w:r>
    </w:p>
    <w:p>
      <w:pPr>
        <w:numPr>
          <w:ilvl w:val="0"/>
          <w:numId w:val="4"/>
        </w:numPr>
        <w:ind w:left="1140"/>
        <w:rPr>
          <w:rFonts w:ascii="微软雅黑" w:hAnsi="微软雅黑" w:eastAsia="微软雅黑"/>
        </w:rPr>
      </w:pPr>
      <w:r>
        <w:rPr>
          <w:rFonts w:ascii="微软雅黑" w:hAnsi="微软雅黑" w:eastAsia="微软雅黑"/>
        </w:rPr>
        <w:t>进入机房人员不得携带任何易燃、易爆、腐蚀性、强电磁、辐射性、流体物质等对设备正常运行构成威胁的物品</w:t>
      </w:r>
      <w:r>
        <w:rPr>
          <w:rFonts w:hint="eastAsia" w:ascii="微软雅黑" w:hAnsi="微软雅黑" w:eastAsia="微软雅黑"/>
        </w:rPr>
        <w:t>。</w:t>
      </w:r>
    </w:p>
    <w:p>
      <w:pPr>
        <w:numPr>
          <w:ilvl w:val="0"/>
          <w:numId w:val="4"/>
        </w:numPr>
        <w:ind w:left="1140"/>
        <w:rPr>
          <w:rFonts w:ascii="微软雅黑" w:hAnsi="微软雅黑" w:eastAsia="微软雅黑"/>
        </w:rPr>
      </w:pPr>
      <w:r>
        <w:rPr>
          <w:rFonts w:ascii="微软雅黑" w:hAnsi="微软雅黑" w:eastAsia="微软雅黑"/>
        </w:rPr>
        <w:t>未发生故障或故障隐患时</w:t>
      </w:r>
      <w:r>
        <w:rPr>
          <w:rFonts w:hint="eastAsia" w:ascii="微软雅黑" w:hAnsi="微软雅黑" w:eastAsia="微软雅黑"/>
        </w:rPr>
        <w:t>工作人员</w:t>
      </w:r>
      <w:r>
        <w:rPr>
          <w:rFonts w:ascii="微软雅黑" w:hAnsi="微软雅黑" w:eastAsia="微软雅黑"/>
        </w:rPr>
        <w:t>不可对中继、光纤</w:t>
      </w:r>
      <w:r>
        <w:rPr>
          <w:rFonts w:hint="eastAsia" w:ascii="微软雅黑" w:hAnsi="微软雅黑" w:eastAsia="微软雅黑"/>
        </w:rPr>
        <w:t>等各类上行、下行链路</w:t>
      </w:r>
      <w:r>
        <w:rPr>
          <w:rFonts w:ascii="微软雅黑" w:hAnsi="微软雅黑" w:eastAsia="微软雅黑"/>
        </w:rPr>
        <w:t>及各种网络、系统设备进行任何调试；若有故障</w:t>
      </w:r>
      <w:r>
        <w:rPr>
          <w:rFonts w:hint="eastAsia" w:ascii="微软雅黑" w:hAnsi="微软雅黑" w:eastAsia="微软雅黑"/>
        </w:rPr>
        <w:t>，</w:t>
      </w:r>
      <w:r>
        <w:rPr>
          <w:rFonts w:ascii="微软雅黑" w:hAnsi="微软雅黑" w:eastAsia="微软雅黑"/>
        </w:rPr>
        <w:t>应对所发生的故障、处理过程和结果等做好详细登记</w:t>
      </w:r>
      <w:r>
        <w:rPr>
          <w:rFonts w:hint="eastAsia" w:ascii="微软雅黑" w:hAnsi="微软雅黑" w:eastAsia="微软雅黑"/>
        </w:rPr>
        <w:t>，并上报上级负责人。</w:t>
      </w:r>
    </w:p>
    <w:p>
      <w:pPr>
        <w:numPr>
          <w:ilvl w:val="0"/>
          <w:numId w:val="4"/>
        </w:numPr>
        <w:ind w:left="1140"/>
        <w:rPr>
          <w:rFonts w:ascii="微软雅黑" w:hAnsi="微软雅黑" w:eastAsia="微软雅黑"/>
        </w:rPr>
      </w:pPr>
      <w:r>
        <w:rPr>
          <w:rFonts w:ascii="微软雅黑" w:hAnsi="微软雅黑" w:eastAsia="微软雅黑"/>
        </w:rPr>
        <w:t>路由器、交换机和服务器以及</w:t>
      </w:r>
      <w:r>
        <w:rPr>
          <w:rFonts w:hint="eastAsia" w:ascii="微软雅黑" w:hAnsi="微软雅黑" w:eastAsia="微软雅黑"/>
        </w:rPr>
        <w:t>存储</w:t>
      </w:r>
      <w:r>
        <w:rPr>
          <w:rFonts w:ascii="微软雅黑" w:hAnsi="微软雅黑" w:eastAsia="微软雅黑"/>
        </w:rPr>
        <w:t>是</w:t>
      </w:r>
      <w:r>
        <w:rPr>
          <w:rFonts w:hint="eastAsia" w:ascii="微软雅黑" w:hAnsi="微软雅黑" w:eastAsia="微软雅黑"/>
        </w:rPr>
        <w:t>IDC业务</w:t>
      </w:r>
      <w:r>
        <w:rPr>
          <w:rFonts w:ascii="微软雅黑" w:hAnsi="微软雅黑" w:eastAsia="微软雅黑"/>
        </w:rPr>
        <w:t>的关键设备，</w:t>
      </w:r>
      <w:r>
        <w:rPr>
          <w:rFonts w:hint="eastAsia" w:ascii="微软雅黑" w:hAnsi="微软雅黑" w:eastAsia="微软雅黑"/>
        </w:rPr>
        <w:t>人员离开现场时，需确保机柜门锁已上锁并处于关闭状态</w:t>
      </w:r>
      <w:r>
        <w:rPr>
          <w:rFonts w:ascii="微软雅黑" w:hAnsi="微软雅黑" w:eastAsia="微软雅黑"/>
        </w:rPr>
        <w:t>，</w:t>
      </w:r>
      <w:r>
        <w:rPr>
          <w:rFonts w:hint="eastAsia" w:ascii="微软雅黑" w:hAnsi="微软雅黑" w:eastAsia="微软雅黑"/>
        </w:rPr>
        <w:t>未经部门负责人许可，任何人</w:t>
      </w:r>
      <w:r>
        <w:rPr>
          <w:rFonts w:ascii="微软雅黑" w:hAnsi="微软雅黑" w:eastAsia="微软雅黑"/>
        </w:rPr>
        <w:t>不得自行配置</w:t>
      </w:r>
      <w:r>
        <w:rPr>
          <w:rFonts w:hint="eastAsia" w:ascii="微软雅黑" w:hAnsi="微软雅黑" w:eastAsia="微软雅黑"/>
        </w:rPr>
        <w:t>、变更或是移位操作。</w:t>
      </w:r>
    </w:p>
    <w:p>
      <w:pPr>
        <w:numPr>
          <w:ilvl w:val="0"/>
          <w:numId w:val="4"/>
        </w:numPr>
        <w:ind w:left="1140"/>
        <w:rPr>
          <w:rFonts w:ascii="微软雅黑" w:hAnsi="微软雅黑" w:eastAsia="微软雅黑"/>
        </w:rPr>
      </w:pPr>
      <w:r>
        <w:rPr>
          <w:rFonts w:hint="eastAsia" w:ascii="微软雅黑" w:hAnsi="微软雅黑" w:eastAsia="微软雅黑"/>
        </w:rPr>
        <w:t>工作人员每次进入</w:t>
      </w:r>
      <w:r>
        <w:rPr>
          <w:rFonts w:ascii="微软雅黑" w:hAnsi="微软雅黑" w:eastAsia="微软雅黑"/>
        </w:rPr>
        <w:t>机房</w:t>
      </w:r>
      <w:r>
        <w:rPr>
          <w:rFonts w:hint="eastAsia" w:ascii="微软雅黑" w:hAnsi="微软雅黑" w:eastAsia="微软雅黑"/>
        </w:rPr>
        <w:t>或保证每15天应对公司自有</w:t>
      </w:r>
      <w:r>
        <w:rPr>
          <w:rFonts w:ascii="微软雅黑" w:hAnsi="微软雅黑" w:eastAsia="微软雅黑"/>
        </w:rPr>
        <w:t>设备</w:t>
      </w:r>
      <w:r>
        <w:rPr>
          <w:rFonts w:hint="eastAsia" w:ascii="微软雅黑" w:hAnsi="微软雅黑" w:eastAsia="微软雅黑"/>
        </w:rPr>
        <w:t>和客户设备进行运行状况日常巡检，如</w:t>
      </w:r>
      <w:r>
        <w:rPr>
          <w:rFonts w:ascii="微软雅黑" w:hAnsi="微软雅黑" w:eastAsia="微软雅黑"/>
        </w:rPr>
        <w:t>发现</w:t>
      </w:r>
      <w:r>
        <w:rPr>
          <w:rFonts w:hint="eastAsia" w:ascii="微软雅黑" w:hAnsi="微软雅黑" w:eastAsia="微软雅黑"/>
        </w:rPr>
        <w:t>故障或</w:t>
      </w:r>
      <w:r>
        <w:rPr>
          <w:rFonts w:ascii="微软雅黑" w:hAnsi="微软雅黑" w:eastAsia="微软雅黑"/>
        </w:rPr>
        <w:t>异常情况应立即上报</w:t>
      </w:r>
      <w:r>
        <w:rPr>
          <w:rFonts w:hint="eastAsia" w:ascii="微软雅黑" w:hAnsi="微软雅黑" w:eastAsia="微软雅黑"/>
        </w:rPr>
        <w:t>并</w:t>
      </w:r>
      <w:r>
        <w:rPr>
          <w:rFonts w:ascii="微软雅黑" w:hAnsi="微软雅黑" w:eastAsia="微软雅黑"/>
        </w:rPr>
        <w:t>详细记录</w:t>
      </w:r>
      <w:r>
        <w:rPr>
          <w:rFonts w:hint="eastAsia" w:ascii="微软雅黑" w:hAnsi="微软雅黑" w:eastAsia="微软雅黑"/>
        </w:rPr>
        <w:t>，在上级负责人的指导下进行下一步操作和处理。</w:t>
      </w:r>
    </w:p>
    <w:p>
      <w:pPr>
        <w:pStyle w:val="2"/>
        <w:numPr>
          <w:ilvl w:val="0"/>
          <w:numId w:val="3"/>
        </w:numPr>
        <w:ind w:left="425" w:firstLine="0"/>
        <w:rPr>
          <w:rFonts w:ascii="微软雅黑" w:hAnsi="微软雅黑" w:eastAsia="微软雅黑"/>
        </w:rPr>
      </w:pPr>
      <w:bookmarkStart w:id="4" w:name="_Toc25644"/>
      <w:r>
        <w:rPr>
          <w:rFonts w:hint="eastAsia" w:ascii="微软雅黑" w:hAnsi="微软雅黑" w:eastAsia="微软雅黑"/>
        </w:rPr>
        <w:t>IDC机房操作管理</w:t>
      </w:r>
      <w:bookmarkEnd w:id="4"/>
    </w:p>
    <w:p>
      <w:pPr>
        <w:numPr>
          <w:ilvl w:val="0"/>
          <w:numId w:val="5"/>
        </w:numPr>
        <w:ind w:left="1140"/>
        <w:rPr>
          <w:rFonts w:ascii="微软雅黑" w:hAnsi="微软雅黑" w:eastAsia="微软雅黑"/>
        </w:rPr>
      </w:pPr>
      <w:r>
        <w:rPr>
          <w:rFonts w:hint="eastAsia" w:ascii="微软雅黑" w:hAnsi="微软雅黑" w:eastAsia="微软雅黑"/>
        </w:rPr>
        <w:t>机器上架、搬出、维护等机器操作必须符合</w:t>
      </w:r>
      <w:r>
        <w:rPr>
          <w:rFonts w:hint="eastAsia" w:ascii="微软雅黑" w:hAnsi="微软雅黑" w:eastAsia="微软雅黑"/>
          <w:b/>
        </w:rPr>
        <w:t>《IDC机房操作指导手册》</w:t>
      </w:r>
      <w:r>
        <w:rPr>
          <w:rFonts w:hint="eastAsia" w:ascii="微软雅黑" w:hAnsi="微软雅黑" w:eastAsia="微软雅黑"/>
        </w:rPr>
        <w:t>的各项规定，以保证公司及客户的双方权利与义务。</w:t>
      </w:r>
    </w:p>
    <w:p>
      <w:pPr>
        <w:numPr>
          <w:ilvl w:val="0"/>
          <w:numId w:val="5"/>
        </w:numPr>
        <w:ind w:left="1140"/>
        <w:rPr>
          <w:rFonts w:ascii="微软雅黑" w:hAnsi="微软雅黑" w:eastAsia="微软雅黑"/>
        </w:rPr>
      </w:pPr>
      <w:r>
        <w:rPr>
          <w:rFonts w:hint="eastAsia" w:ascii="微软雅黑" w:hAnsi="微软雅黑" w:eastAsia="微软雅黑"/>
        </w:rPr>
        <w:t>维护操作时，必须事先与客户沟通并确认问题后再进行操作，如操作有数据丢失的风险时（如系统重装、分区操作、数据删除等），务必先确保数据已经妥善备份成功再进行操作；如托管客户因遗忘系统登录密码而无法进入系统时，除非客户要求密码重置，且客户已提交工单，否则一律不得此类操作。</w:t>
      </w:r>
    </w:p>
    <w:p>
      <w:pPr>
        <w:numPr>
          <w:ilvl w:val="0"/>
          <w:numId w:val="5"/>
        </w:numPr>
        <w:ind w:left="1140"/>
        <w:rPr>
          <w:rFonts w:ascii="微软雅黑" w:hAnsi="微软雅黑" w:eastAsia="微软雅黑"/>
        </w:rPr>
      </w:pPr>
      <w:r>
        <w:rPr>
          <w:rFonts w:hint="eastAsia" w:ascii="微软雅黑" w:hAnsi="微软雅黑" w:eastAsia="微软雅黑"/>
        </w:rPr>
        <w:t>如需对设备的硬件进行维护和更换操作，请确保设备已停机，所有电源已断开方能进行操作，以免导致数据丢失或是损坏设备而难以修复。</w:t>
      </w:r>
    </w:p>
    <w:p>
      <w:pPr>
        <w:pStyle w:val="2"/>
        <w:numPr>
          <w:ilvl w:val="0"/>
          <w:numId w:val="3"/>
        </w:numPr>
        <w:ind w:left="425" w:firstLine="0"/>
        <w:rPr>
          <w:rFonts w:ascii="微软雅黑" w:hAnsi="微软雅黑" w:eastAsia="微软雅黑"/>
        </w:rPr>
      </w:pPr>
      <w:bookmarkStart w:id="5" w:name="_Toc14168"/>
      <w:r>
        <w:rPr>
          <w:rFonts w:hint="eastAsia" w:ascii="微软雅黑" w:hAnsi="微软雅黑" w:eastAsia="微软雅黑"/>
        </w:rPr>
        <w:t>IDC机房网络管理</w:t>
      </w:r>
      <w:bookmarkEnd w:id="5"/>
    </w:p>
    <w:p>
      <w:pPr>
        <w:numPr>
          <w:ilvl w:val="0"/>
          <w:numId w:val="6"/>
        </w:numPr>
        <w:ind w:left="1200" w:leftChars="400"/>
        <w:rPr>
          <w:rFonts w:ascii="微软雅黑" w:hAnsi="微软雅黑" w:eastAsia="微软雅黑"/>
        </w:rPr>
      </w:pPr>
      <w:r>
        <w:rPr>
          <w:rFonts w:hint="eastAsia" w:ascii="微软雅黑" w:hAnsi="微软雅黑" w:eastAsia="微软雅黑"/>
        </w:rPr>
        <w:t>新网络设备上架，应由昆明电信分配管理标签，并粘贴于设备醒目位置。</w:t>
      </w:r>
    </w:p>
    <w:p>
      <w:pPr>
        <w:numPr>
          <w:ilvl w:val="0"/>
          <w:numId w:val="6"/>
        </w:numPr>
        <w:ind w:left="1200" w:leftChars="400"/>
        <w:rPr>
          <w:rFonts w:ascii="微软雅黑" w:hAnsi="微软雅黑" w:eastAsia="微软雅黑"/>
        </w:rPr>
      </w:pPr>
      <w:r>
        <w:rPr>
          <w:rFonts w:hint="eastAsia" w:ascii="微软雅黑" w:hAnsi="微软雅黑" w:eastAsia="微软雅黑"/>
        </w:rPr>
        <w:t>配置网络设备，确保本地控制口及远程连接口设置了强壮登录口令及验证方式。</w:t>
      </w:r>
    </w:p>
    <w:p>
      <w:pPr>
        <w:numPr>
          <w:ilvl w:val="0"/>
          <w:numId w:val="6"/>
        </w:numPr>
        <w:ind w:left="1200" w:leftChars="400"/>
        <w:rPr>
          <w:rFonts w:ascii="微软雅黑" w:hAnsi="微软雅黑" w:eastAsia="微软雅黑"/>
        </w:rPr>
      </w:pPr>
      <w:r>
        <w:rPr>
          <w:rFonts w:hint="eastAsia" w:ascii="微软雅黑" w:hAnsi="微软雅黑" w:eastAsia="微软雅黑"/>
        </w:rPr>
        <w:t>设备配置完成后，需保存配置输出并存档。</w:t>
      </w:r>
    </w:p>
    <w:p>
      <w:pPr>
        <w:numPr>
          <w:ilvl w:val="0"/>
          <w:numId w:val="6"/>
        </w:numPr>
        <w:ind w:left="1200" w:leftChars="400"/>
        <w:rPr>
          <w:rFonts w:ascii="微软雅黑" w:hAnsi="微软雅黑" w:eastAsia="微软雅黑"/>
        </w:rPr>
      </w:pPr>
      <w:r>
        <w:rPr>
          <w:rFonts w:hint="eastAsia" w:ascii="微软雅黑" w:hAnsi="微软雅黑" w:eastAsia="微软雅黑"/>
        </w:rPr>
        <w:t>更新现有网络拓扑图并确保实际网络连接线路与拓扑图保持一致。</w:t>
      </w:r>
    </w:p>
    <w:p>
      <w:pPr>
        <w:numPr>
          <w:ilvl w:val="0"/>
          <w:numId w:val="6"/>
        </w:numPr>
        <w:ind w:left="1200" w:leftChars="400"/>
        <w:rPr>
          <w:rFonts w:ascii="微软雅黑" w:hAnsi="微软雅黑" w:eastAsia="微软雅黑"/>
        </w:rPr>
      </w:pPr>
      <w:r>
        <w:rPr>
          <w:rFonts w:hint="eastAsia" w:ascii="微软雅黑" w:hAnsi="微软雅黑" w:eastAsia="微软雅黑"/>
        </w:rPr>
        <w:t>网络线路的连接，应根据链路类型不同采用不同颜色的连接介质进行区分，各类线路连接应确保美观、整齐有序，设备的源端及终端应采用统一命名规则并粘贴标签以便维护。</w:t>
      </w:r>
    </w:p>
    <w:p>
      <w:pPr>
        <w:numPr>
          <w:ilvl w:val="0"/>
          <w:numId w:val="6"/>
        </w:numPr>
        <w:ind w:left="1200" w:leftChars="400"/>
        <w:rPr>
          <w:rFonts w:ascii="微软雅黑" w:hAnsi="微软雅黑" w:eastAsia="微软雅黑"/>
        </w:rPr>
      </w:pPr>
      <w:r>
        <w:rPr>
          <w:rFonts w:hint="eastAsia" w:ascii="微软雅黑" w:hAnsi="微软雅黑" w:eastAsia="微软雅黑"/>
        </w:rPr>
        <w:t>网络设备及线路的增删、变更，需在公司管理后台添加相应记录。</w:t>
      </w:r>
    </w:p>
    <w:p>
      <w:pPr>
        <w:numPr>
          <w:ilvl w:val="0"/>
          <w:numId w:val="6"/>
        </w:numPr>
        <w:ind w:left="1200" w:leftChars="400"/>
        <w:rPr>
          <w:rFonts w:ascii="微软雅黑" w:hAnsi="微软雅黑" w:eastAsia="微软雅黑"/>
          <w:b/>
        </w:rPr>
      </w:pPr>
      <w:r>
        <w:rPr>
          <w:rFonts w:hint="eastAsia" w:ascii="微软雅黑" w:hAnsi="微软雅黑" w:eastAsia="微软雅黑"/>
        </w:rPr>
        <w:t>网络设备配置变更，需由网络管理员操作，其他人不得擅自操作或是更改，如变更影响到全局用户必须事先获得总经理的批准并提前发布维护通告，流程</w:t>
      </w:r>
      <w:r>
        <w:rPr>
          <w:rFonts w:hint="eastAsia" w:ascii="微软雅黑" w:hAnsi="微软雅黑" w:eastAsia="微软雅黑" w:cs="微软雅黑"/>
          <w:bCs/>
        </w:rPr>
        <w:t>遵守</w:t>
      </w:r>
      <w:r>
        <w:rPr>
          <w:rFonts w:hint="eastAsia" w:ascii="微软雅黑" w:hAnsi="微软雅黑" w:eastAsia="微软雅黑" w:cs="微软雅黑"/>
          <w:b/>
          <w:bCs/>
        </w:rPr>
        <w:t>《维护通告流程图》。</w:t>
      </w:r>
    </w:p>
    <w:p>
      <w:pPr>
        <w:numPr>
          <w:ilvl w:val="0"/>
          <w:numId w:val="6"/>
        </w:numPr>
        <w:ind w:left="1200" w:leftChars="400"/>
        <w:rPr>
          <w:rFonts w:ascii="微软雅黑" w:hAnsi="微软雅黑" w:eastAsia="微软雅黑"/>
        </w:rPr>
      </w:pPr>
      <w:r>
        <w:rPr>
          <w:rFonts w:hint="eastAsia" w:ascii="微软雅黑" w:hAnsi="微软雅黑" w:eastAsia="微软雅黑" w:cs="微软雅黑"/>
          <w:bCs/>
        </w:rPr>
        <w:t>网络管理员应开启设备日志功能并履行日志核查任务，如发现可疑登录行为或配置变更行为，须马上变更设备登录账号及口令。</w:t>
      </w:r>
    </w:p>
    <w:p>
      <w:pPr>
        <w:numPr>
          <w:ilvl w:val="0"/>
          <w:numId w:val="6"/>
        </w:numPr>
        <w:ind w:left="1200" w:leftChars="400"/>
        <w:rPr>
          <w:rFonts w:ascii="微软雅黑" w:hAnsi="微软雅黑" w:eastAsia="微软雅黑"/>
        </w:rPr>
      </w:pPr>
      <w:r>
        <w:rPr>
          <w:rFonts w:hint="eastAsia" w:ascii="微软雅黑" w:hAnsi="微软雅黑" w:eastAsia="微软雅黑"/>
        </w:rPr>
        <w:t>网络管理员应配置SNMP设备监控，以便监控平台对网络设备进行流量监控及分析</w:t>
      </w:r>
    </w:p>
    <w:p>
      <w:pPr>
        <w:numPr>
          <w:ilvl w:val="0"/>
          <w:numId w:val="6"/>
        </w:numPr>
        <w:ind w:left="1200" w:leftChars="400"/>
        <w:rPr>
          <w:rFonts w:ascii="微软雅黑" w:hAnsi="微软雅黑" w:eastAsia="微软雅黑"/>
        </w:rPr>
      </w:pPr>
      <w:r>
        <w:rPr>
          <w:rFonts w:hint="eastAsia" w:ascii="微软雅黑" w:hAnsi="微软雅黑" w:eastAsia="微软雅黑"/>
        </w:rPr>
        <w:t>如遇突发网络攻击，应借助网络分析工具快速锁定攻击源并进行IP封禁处理。</w:t>
      </w:r>
    </w:p>
    <w:p>
      <w:pPr>
        <w:ind w:left="840" w:leftChars="400"/>
        <w:rPr>
          <w:rFonts w:ascii="微软雅黑" w:hAnsi="微软雅黑" w:eastAsia="微软雅黑"/>
        </w:rPr>
      </w:pPr>
      <w:r>
        <w:rPr>
          <w:rFonts w:hint="eastAsia" w:ascii="微软雅黑" w:hAnsi="微软雅黑" w:eastAsia="微软雅黑"/>
        </w:rPr>
        <w:t>以上详细内容，请参考</w:t>
      </w:r>
      <w:r>
        <w:rPr>
          <w:rFonts w:hint="eastAsia" w:ascii="微软雅黑" w:hAnsi="微软雅黑" w:eastAsia="微软雅黑"/>
          <w:b/>
        </w:rPr>
        <w:t>《IDC机房网络管理规范》</w:t>
      </w:r>
    </w:p>
    <w:p>
      <w:pPr>
        <w:pStyle w:val="2"/>
        <w:numPr>
          <w:ilvl w:val="0"/>
          <w:numId w:val="3"/>
        </w:numPr>
        <w:ind w:left="425" w:firstLine="0"/>
        <w:rPr>
          <w:rFonts w:ascii="微软雅黑" w:hAnsi="微软雅黑" w:eastAsia="微软雅黑"/>
        </w:rPr>
      </w:pPr>
      <w:bookmarkStart w:id="6" w:name="_Toc3568"/>
      <w:r>
        <w:rPr>
          <w:rFonts w:hint="eastAsia" w:ascii="微软雅黑" w:hAnsi="微软雅黑" w:eastAsia="微软雅黑"/>
        </w:rPr>
        <w:t>IDC机房服务管理</w:t>
      </w:r>
      <w:bookmarkEnd w:id="6"/>
    </w:p>
    <w:p>
      <w:pPr>
        <w:numPr>
          <w:ilvl w:val="0"/>
          <w:numId w:val="7"/>
        </w:numPr>
        <w:ind w:left="1140"/>
        <w:rPr>
          <w:rFonts w:ascii="微软雅黑" w:hAnsi="微软雅黑" w:eastAsia="微软雅黑"/>
        </w:rPr>
      </w:pPr>
      <w:r>
        <w:rPr>
          <w:rFonts w:hint="eastAsia" w:ascii="微软雅黑" w:hAnsi="微软雅黑" w:eastAsia="微软雅黑"/>
        </w:rPr>
        <w:t>公司服务器日常维护主要涉及虚拟主机母机、数据库和云主机母机，应每天检查其运行状态并确保硬件及软件各项参数正常，以保证I</w:t>
      </w:r>
      <w:r>
        <w:rPr>
          <w:rFonts w:ascii="微软雅黑" w:hAnsi="微软雅黑" w:eastAsia="微软雅黑"/>
        </w:rPr>
        <w:t>DC</w:t>
      </w:r>
      <w:r>
        <w:rPr>
          <w:rFonts w:hint="eastAsia" w:ascii="微软雅黑" w:hAnsi="微软雅黑" w:eastAsia="微软雅黑"/>
        </w:rPr>
        <w:t>业务的日常运营。</w:t>
      </w:r>
    </w:p>
    <w:p>
      <w:pPr>
        <w:numPr>
          <w:ilvl w:val="0"/>
          <w:numId w:val="7"/>
        </w:numPr>
        <w:ind w:left="1140"/>
        <w:rPr>
          <w:rFonts w:ascii="微软雅黑" w:hAnsi="微软雅黑" w:eastAsia="微软雅黑"/>
        </w:rPr>
      </w:pPr>
      <w:r>
        <w:rPr>
          <w:rFonts w:hint="eastAsia" w:ascii="微软雅黑" w:hAnsi="微软雅黑" w:eastAsia="微软雅黑"/>
        </w:rPr>
        <w:t>所有客户服务内容必须有工单记录，形式不仅限于客户自行提交或后台提交。</w:t>
      </w:r>
    </w:p>
    <w:p>
      <w:pPr>
        <w:numPr>
          <w:ilvl w:val="0"/>
          <w:numId w:val="7"/>
        </w:numPr>
        <w:ind w:left="1140"/>
        <w:rPr>
          <w:rFonts w:ascii="微软雅黑" w:hAnsi="微软雅黑" w:eastAsia="微软雅黑"/>
        </w:rPr>
      </w:pPr>
      <w:r>
        <w:rPr>
          <w:rFonts w:hint="eastAsia" w:ascii="微软雅黑" w:hAnsi="微软雅黑" w:eastAsia="微软雅黑"/>
        </w:rPr>
        <w:t>客户自行提交的工单，值班人员须在2分钟内进行工单回复以通知客户，您的工单请求已收到并正在处理中；对于营销QQ上的服务请求，值班人员须在30秒内响应客户并回复；对于24小时值班电话的来电，值班人员须在响铃3声内拿起话筒并接听。</w:t>
      </w:r>
    </w:p>
    <w:p>
      <w:pPr>
        <w:numPr>
          <w:ilvl w:val="0"/>
          <w:numId w:val="7"/>
        </w:numPr>
        <w:ind w:left="1140"/>
        <w:rPr>
          <w:rFonts w:ascii="微软雅黑" w:hAnsi="微软雅黑" w:eastAsia="微软雅黑"/>
        </w:rPr>
      </w:pPr>
      <w:r>
        <w:rPr>
          <w:rFonts w:hint="eastAsia" w:ascii="微软雅黑" w:hAnsi="微软雅黑" w:eastAsia="微软雅黑"/>
        </w:rPr>
        <w:t>回复及沟通内容须采用敬语，回复规范请参考</w:t>
      </w:r>
      <w:r>
        <w:rPr>
          <w:rFonts w:hint="eastAsia" w:ascii="微软雅黑" w:hAnsi="微软雅黑" w:eastAsia="微软雅黑"/>
          <w:b/>
        </w:rPr>
        <w:t>《技术部服务标准用语规范》和《技术部快捷回复用语》。</w:t>
      </w:r>
    </w:p>
    <w:p>
      <w:pPr>
        <w:numPr>
          <w:ilvl w:val="0"/>
          <w:numId w:val="7"/>
        </w:numPr>
        <w:ind w:left="1140"/>
        <w:rPr>
          <w:rFonts w:ascii="微软雅黑" w:hAnsi="微软雅黑" w:eastAsia="微软雅黑"/>
          <w:b/>
        </w:rPr>
      </w:pPr>
      <w:r>
        <w:rPr>
          <w:rFonts w:hint="eastAsia" w:ascii="微软雅黑" w:hAnsi="微软雅黑" w:eastAsia="微软雅黑"/>
        </w:rPr>
        <w:t>虚拟主机、云主机、数据库、</w:t>
      </w:r>
      <w:r>
        <w:rPr>
          <w:rFonts w:ascii="微软雅黑" w:hAnsi="微软雅黑" w:eastAsia="微软雅黑"/>
        </w:rPr>
        <w:t>IDC</w:t>
      </w:r>
      <w:r>
        <w:rPr>
          <w:rFonts w:hint="eastAsia" w:ascii="微软雅黑" w:hAnsi="微软雅黑" w:eastAsia="微软雅黑"/>
        </w:rPr>
        <w:t>服务租赁托管等相关服务规范请参考</w:t>
      </w:r>
      <w:r>
        <w:rPr>
          <w:rFonts w:hint="eastAsia" w:ascii="微软雅黑" w:hAnsi="微软雅黑" w:eastAsia="微软雅黑"/>
          <w:b/>
        </w:rPr>
        <w:t>《技术部IDC服务管理规范》。</w:t>
      </w:r>
    </w:p>
    <w:p>
      <w:pPr>
        <w:numPr>
          <w:ilvl w:val="0"/>
          <w:numId w:val="7"/>
        </w:numPr>
        <w:ind w:left="1140"/>
        <w:rPr>
          <w:rFonts w:ascii="微软雅黑" w:hAnsi="微软雅黑" w:eastAsia="微软雅黑"/>
        </w:rPr>
      </w:pPr>
      <w:r>
        <w:rPr>
          <w:rFonts w:hint="eastAsia" w:ascii="微软雅黑" w:hAnsi="微软雅黑" w:eastAsia="微软雅黑"/>
        </w:rPr>
        <w:t>24</w:t>
      </w:r>
      <w:r>
        <w:rPr>
          <w:rFonts w:ascii="微软雅黑" w:hAnsi="微软雅黑" w:eastAsia="微软雅黑"/>
        </w:rPr>
        <w:t>h</w:t>
      </w:r>
      <w:r>
        <w:rPr>
          <w:rFonts w:hint="eastAsia" w:ascii="微软雅黑" w:hAnsi="微软雅黑" w:eastAsia="微软雅黑"/>
        </w:rPr>
        <w:t>值班人员，须做好工作交接，接班人员需提交10分钟到达接班地点，与当前值班人员就未完事宜进行工作交接，并在交接本上详细记录并签字确认。</w:t>
      </w:r>
    </w:p>
    <w:p>
      <w:pPr>
        <w:pStyle w:val="2"/>
        <w:numPr>
          <w:ilvl w:val="0"/>
          <w:numId w:val="3"/>
        </w:numPr>
        <w:ind w:left="425" w:firstLine="0"/>
        <w:rPr>
          <w:rFonts w:ascii="微软雅黑" w:hAnsi="微软雅黑" w:eastAsia="微软雅黑"/>
        </w:rPr>
      </w:pPr>
      <w:bookmarkStart w:id="7" w:name="_Toc513"/>
      <w:r>
        <w:rPr>
          <w:rFonts w:hint="eastAsia" w:ascii="微软雅黑" w:hAnsi="微软雅黑" w:eastAsia="微软雅黑"/>
        </w:rPr>
        <w:t>IDC机房信息安全管理</w:t>
      </w:r>
      <w:bookmarkEnd w:id="7"/>
    </w:p>
    <w:p>
      <w:pPr>
        <w:numPr>
          <w:ilvl w:val="0"/>
          <w:numId w:val="8"/>
        </w:numPr>
        <w:ind w:left="1140"/>
        <w:rPr>
          <w:rFonts w:ascii="微软雅黑" w:hAnsi="微软雅黑" w:eastAsia="微软雅黑"/>
        </w:rPr>
      </w:pPr>
      <w:r>
        <w:rPr>
          <w:rFonts w:hint="eastAsia" w:ascii="微软雅黑" w:hAnsi="微软雅黑" w:eastAsia="微软雅黑"/>
        </w:rPr>
        <w:t>公司自有设备系统帐号口令密码长度不得低于8个字符，且密码复杂性至少包含大写字母、小写字母、数字及特殊字符中的3种组合，并开启连续登录失败达到设定次数帐户锁定策略，不允许设置连续完整单词或是数字的简易密码；客户设备应引导客户设置高强度密码并增强安全意识。</w:t>
      </w:r>
    </w:p>
    <w:p>
      <w:pPr>
        <w:numPr>
          <w:ilvl w:val="0"/>
          <w:numId w:val="8"/>
        </w:numPr>
        <w:ind w:left="1140"/>
        <w:rPr>
          <w:rFonts w:ascii="微软雅黑" w:hAnsi="微软雅黑" w:eastAsia="微软雅黑"/>
        </w:rPr>
      </w:pPr>
      <w:r>
        <w:rPr>
          <w:rFonts w:hint="eastAsia" w:ascii="微软雅黑" w:hAnsi="微软雅黑" w:eastAsia="微软雅黑"/>
        </w:rPr>
        <w:t>域管理系统应强制指定密码策略，包括但不仅限于密码的最短有效期、最长有效期、最短长度及复杂性。</w:t>
      </w:r>
    </w:p>
    <w:p>
      <w:pPr>
        <w:numPr>
          <w:ilvl w:val="0"/>
          <w:numId w:val="8"/>
        </w:numPr>
        <w:ind w:left="1140"/>
        <w:rPr>
          <w:rFonts w:ascii="微软雅黑" w:hAnsi="微软雅黑" w:eastAsia="微软雅黑"/>
        </w:rPr>
      </w:pPr>
      <w:r>
        <w:rPr>
          <w:rFonts w:hint="eastAsia" w:ascii="微软雅黑" w:hAnsi="微软雅黑" w:eastAsia="微软雅黑"/>
        </w:rPr>
        <w:t>公司IDC核心业务设备，其密码至少应该保证每半年更换一次，包括：Linux系统root用户的密码、网络设备的Tel</w:t>
      </w:r>
      <w:r>
        <w:rPr>
          <w:rFonts w:ascii="微软雅黑" w:hAnsi="微软雅黑" w:eastAsia="微软雅黑"/>
        </w:rPr>
        <w:t>net</w:t>
      </w:r>
      <w:r>
        <w:rPr>
          <w:rFonts w:hint="eastAsia" w:ascii="微软雅黑" w:hAnsi="微软雅黑" w:eastAsia="微软雅黑"/>
        </w:rPr>
        <w:t>和特权密码、W</w:t>
      </w:r>
      <w:r>
        <w:rPr>
          <w:rFonts w:ascii="微软雅黑" w:hAnsi="微软雅黑" w:eastAsia="微软雅黑"/>
        </w:rPr>
        <w:t xml:space="preserve">indows </w:t>
      </w:r>
      <w:r>
        <w:rPr>
          <w:rFonts w:hint="eastAsia" w:ascii="微软雅黑" w:hAnsi="微软雅黑" w:eastAsia="微软雅黑"/>
        </w:rPr>
        <w:t>系统Administrator用户的密码，以及应用系统的管理用户密码。</w:t>
      </w:r>
    </w:p>
    <w:p>
      <w:pPr>
        <w:numPr>
          <w:ilvl w:val="0"/>
          <w:numId w:val="8"/>
        </w:numPr>
        <w:ind w:left="1140"/>
        <w:rPr>
          <w:rFonts w:ascii="微软雅黑" w:hAnsi="微软雅黑" w:eastAsia="微软雅黑"/>
        </w:rPr>
      </w:pPr>
      <w:r>
        <w:rPr>
          <w:rFonts w:hint="eastAsia" w:ascii="微软雅黑" w:hAnsi="微软雅黑" w:eastAsia="微软雅黑"/>
        </w:rPr>
        <w:t>公司员工不能将密码告诉除需处理IDC机房业务的本公司员工以外的人，如果系统密码已泄漏，必须立即更改。</w:t>
      </w:r>
    </w:p>
    <w:p>
      <w:pPr>
        <w:numPr>
          <w:ilvl w:val="0"/>
          <w:numId w:val="8"/>
        </w:numPr>
        <w:ind w:left="1140"/>
        <w:rPr>
          <w:rFonts w:ascii="微软雅黑" w:hAnsi="微软雅黑" w:eastAsia="微软雅黑"/>
        </w:rPr>
      </w:pPr>
      <w:r>
        <w:rPr>
          <w:rFonts w:hint="eastAsia" w:ascii="微软雅黑" w:hAnsi="微软雅黑" w:eastAsia="微软雅黑"/>
        </w:rPr>
        <w:t>对于不同的业务管理人员，需设置不同权限的管理员帐号，不得共享同一个业务管理帐号，各系统应根据“最小授权”的原则设定帐户访问权限，控制用户仅满足当前工作需要，相关人员离职或是调岗后，应立即注销或是禁用相关人员帐号。</w:t>
      </w:r>
    </w:p>
    <w:p>
      <w:pPr>
        <w:numPr>
          <w:ilvl w:val="0"/>
          <w:numId w:val="8"/>
        </w:numPr>
        <w:ind w:left="1140"/>
        <w:rPr>
          <w:rFonts w:ascii="微软雅黑" w:hAnsi="微软雅黑" w:eastAsia="微软雅黑"/>
        </w:rPr>
      </w:pPr>
      <w:r>
        <w:rPr>
          <w:rFonts w:hint="eastAsia" w:ascii="微软雅黑" w:hAnsi="微软雅黑" w:eastAsia="微软雅黑"/>
        </w:rPr>
        <w:t>各系统应设置审计用户的权限，包括但不仅限于登录成功、登录失败、注销、访问对象、系统日志记录。</w:t>
      </w:r>
    </w:p>
    <w:p>
      <w:pPr>
        <w:numPr>
          <w:ilvl w:val="0"/>
          <w:numId w:val="8"/>
        </w:numPr>
        <w:ind w:left="1140"/>
        <w:rPr>
          <w:rFonts w:ascii="微软雅黑" w:hAnsi="微软雅黑" w:eastAsia="微软雅黑"/>
        </w:rPr>
      </w:pPr>
      <w:r>
        <w:rPr>
          <w:rFonts w:hint="eastAsia" w:ascii="微软雅黑" w:hAnsi="微软雅黑" w:eastAsia="微软雅黑"/>
        </w:rPr>
        <w:t>密码尽量采用加密方式保存，且密码尽量不以明文的方式通过未加密的电子邮件、QQ或者其它不安全的网络传输方式进行传输。</w:t>
      </w:r>
    </w:p>
    <w:p>
      <w:pPr>
        <w:numPr>
          <w:ilvl w:val="0"/>
          <w:numId w:val="8"/>
        </w:numPr>
        <w:ind w:left="1140"/>
        <w:rPr>
          <w:rFonts w:ascii="微软雅黑" w:hAnsi="微软雅黑" w:eastAsia="微软雅黑"/>
        </w:rPr>
      </w:pPr>
      <w:r>
        <w:rPr>
          <w:rFonts w:hint="eastAsia" w:ascii="微软雅黑" w:hAnsi="微软雅黑" w:eastAsia="微软雅黑"/>
        </w:rPr>
        <w:t>所有业务系统服务器应当安装相应的病毒防护软件或采用了相应的病毒防护措施。</w:t>
      </w:r>
    </w:p>
    <w:p>
      <w:pPr>
        <w:numPr>
          <w:ilvl w:val="0"/>
          <w:numId w:val="8"/>
        </w:numPr>
        <w:ind w:left="1140"/>
        <w:rPr>
          <w:rFonts w:ascii="微软雅黑" w:hAnsi="微软雅黑" w:eastAsia="微软雅黑"/>
        </w:rPr>
      </w:pPr>
      <w:r>
        <w:rPr>
          <w:rFonts w:hint="eastAsia" w:ascii="微软雅黑" w:hAnsi="微软雅黑" w:eastAsia="微软雅黑"/>
        </w:rPr>
        <w:t>应当确保防病毒软件每天进行病毒库自动更新，并设置定期（每周或每月）对全部硬盘进行病毒扫描。</w:t>
      </w:r>
    </w:p>
    <w:p>
      <w:pPr>
        <w:numPr>
          <w:ilvl w:val="0"/>
          <w:numId w:val="8"/>
        </w:numPr>
        <w:ind w:left="1140"/>
        <w:rPr>
          <w:rFonts w:ascii="微软雅黑" w:hAnsi="微软雅黑" w:eastAsia="微软雅黑"/>
        </w:rPr>
      </w:pPr>
      <w:r>
        <w:rPr>
          <w:rFonts w:hint="eastAsia" w:ascii="微软雅黑" w:hAnsi="微软雅黑" w:eastAsia="微软雅黑"/>
        </w:rPr>
        <w:t>如果发现业务系统服务器已感染病毒，应先拔掉网线，根据病毒类型进行查杀，无法查杀及清除干净的病毒，需要格式化硬盘并重装系统后再重新接入业务系统网络。</w:t>
      </w:r>
    </w:p>
    <w:p>
      <w:pPr>
        <w:pStyle w:val="2"/>
        <w:numPr>
          <w:ilvl w:val="0"/>
          <w:numId w:val="3"/>
        </w:numPr>
        <w:ind w:left="425" w:firstLine="0"/>
        <w:rPr>
          <w:rFonts w:ascii="微软雅黑" w:hAnsi="微软雅黑" w:eastAsia="微软雅黑"/>
        </w:rPr>
      </w:pPr>
      <w:bookmarkStart w:id="8" w:name="_Toc17837"/>
      <w:r>
        <w:rPr>
          <w:rFonts w:hint="eastAsia" w:ascii="微软雅黑" w:hAnsi="微软雅黑" w:eastAsia="微软雅黑"/>
        </w:rPr>
        <w:t>IDC机房资产管理</w:t>
      </w:r>
      <w:bookmarkEnd w:id="8"/>
    </w:p>
    <w:p>
      <w:pPr>
        <w:numPr>
          <w:ilvl w:val="0"/>
          <w:numId w:val="9"/>
        </w:numPr>
        <w:ind w:left="1140"/>
        <w:rPr>
          <w:rFonts w:ascii="微软雅黑" w:hAnsi="微软雅黑" w:eastAsia="微软雅黑"/>
        </w:rPr>
      </w:pPr>
      <w:r>
        <w:rPr>
          <w:rFonts w:hint="eastAsia" w:ascii="微软雅黑" w:hAnsi="微软雅黑" w:eastAsia="微软雅黑"/>
        </w:rPr>
        <w:t>IDC机房资产管理的范围主要分为公司自有资产和客户租赁托管资产。</w:t>
      </w:r>
    </w:p>
    <w:p>
      <w:pPr>
        <w:numPr>
          <w:ilvl w:val="0"/>
          <w:numId w:val="9"/>
        </w:numPr>
        <w:ind w:left="1140"/>
        <w:rPr>
          <w:rFonts w:ascii="微软雅黑" w:hAnsi="微软雅黑" w:eastAsia="微软雅黑"/>
        </w:rPr>
      </w:pPr>
      <w:r>
        <w:rPr>
          <w:rFonts w:ascii="微软雅黑" w:hAnsi="微软雅黑" w:eastAsia="微软雅黑"/>
        </w:rPr>
        <w:t>IDC</w:t>
      </w:r>
      <w:r>
        <w:rPr>
          <w:rFonts w:hint="eastAsia" w:ascii="微软雅黑" w:hAnsi="微软雅黑" w:eastAsia="微软雅黑"/>
        </w:rPr>
        <w:t>机房资产管理的对象主要包括但不权限于服务器、存储设备、网络设备、PC、工作站、通信设备等。</w:t>
      </w:r>
    </w:p>
    <w:p>
      <w:pPr>
        <w:numPr>
          <w:ilvl w:val="0"/>
          <w:numId w:val="9"/>
        </w:numPr>
        <w:ind w:left="1140"/>
        <w:rPr>
          <w:rFonts w:ascii="微软雅黑" w:hAnsi="微软雅黑" w:eastAsia="微软雅黑"/>
        </w:rPr>
      </w:pPr>
      <w:r>
        <w:rPr>
          <w:rFonts w:hint="eastAsia" w:ascii="微软雅黑" w:hAnsi="微软雅黑" w:eastAsia="微软雅黑"/>
        </w:rPr>
        <w:t>资产管理的流程主要分为新添加资产、资产变更、资产下架和资产报废四大流程。</w:t>
      </w:r>
    </w:p>
    <w:p>
      <w:pPr>
        <w:numPr>
          <w:ilvl w:val="0"/>
          <w:numId w:val="9"/>
        </w:numPr>
        <w:ind w:left="1140"/>
        <w:rPr>
          <w:rFonts w:ascii="微软雅黑" w:hAnsi="微软雅黑" w:eastAsia="微软雅黑"/>
        </w:rPr>
      </w:pPr>
      <w:r>
        <w:rPr>
          <w:rFonts w:hint="eastAsia" w:ascii="微软雅黑" w:hAnsi="微软雅黑" w:eastAsia="微软雅黑"/>
        </w:rPr>
        <w:t>资产管理系统必须设置权限组，分配资产管理角色者相应的管理权限。</w:t>
      </w:r>
    </w:p>
    <w:p>
      <w:pPr>
        <w:numPr>
          <w:ilvl w:val="0"/>
          <w:numId w:val="9"/>
        </w:numPr>
        <w:ind w:left="1140"/>
        <w:rPr>
          <w:rFonts w:ascii="微软雅黑" w:hAnsi="微软雅黑" w:eastAsia="微软雅黑"/>
        </w:rPr>
      </w:pPr>
      <w:r>
        <w:rPr>
          <w:rFonts w:hint="eastAsia" w:ascii="微软雅黑" w:hAnsi="微软雅黑" w:eastAsia="微软雅黑"/>
        </w:rPr>
        <w:t>资产管理系统的操作须由专门的资产管理组人员进行独立操作，其他人无权修改及删除操作，只有查询权限。</w:t>
      </w:r>
    </w:p>
    <w:p>
      <w:pPr>
        <w:numPr>
          <w:ilvl w:val="0"/>
          <w:numId w:val="9"/>
        </w:numPr>
        <w:ind w:left="1140"/>
        <w:rPr>
          <w:rFonts w:ascii="微软雅黑" w:hAnsi="微软雅黑" w:eastAsia="微软雅黑"/>
        </w:rPr>
      </w:pPr>
      <w:r>
        <w:rPr>
          <w:rFonts w:hint="eastAsia" w:ascii="微软雅黑" w:hAnsi="微软雅黑" w:eastAsia="微软雅黑"/>
        </w:rPr>
        <w:t>公司自有资产或客户资产，上架前必须详细登记资产信息，包括但不权限于资产类型、资产型号、资产规格、数量、上架日期、电信流水号，所属机柜、机柜位置、客户用户名等信息，并核对是否与客户合同中提供的资产配置一致，如不一致，需与客户再次确认，并在合同中注明最后上架时的资产配置和数量。</w:t>
      </w:r>
    </w:p>
    <w:p>
      <w:pPr>
        <w:numPr>
          <w:ilvl w:val="0"/>
          <w:numId w:val="9"/>
        </w:numPr>
        <w:ind w:left="1140"/>
        <w:rPr>
          <w:rFonts w:ascii="微软雅黑" w:hAnsi="微软雅黑" w:eastAsia="微软雅黑"/>
        </w:rPr>
      </w:pPr>
      <w:r>
        <w:rPr>
          <w:rFonts w:hint="eastAsia" w:ascii="微软雅黑" w:hAnsi="微软雅黑" w:eastAsia="微软雅黑"/>
        </w:rPr>
        <w:t>将所有资产信息录入公司资产管理系统，设定资产状态、上架日期、并分配资产使用或管理负责人。</w:t>
      </w:r>
    </w:p>
    <w:p>
      <w:pPr>
        <w:numPr>
          <w:ilvl w:val="0"/>
          <w:numId w:val="9"/>
        </w:numPr>
        <w:ind w:left="1140"/>
        <w:rPr>
          <w:rFonts w:ascii="微软雅黑" w:hAnsi="微软雅黑" w:eastAsia="微软雅黑"/>
        </w:rPr>
      </w:pPr>
      <w:r>
        <w:rPr>
          <w:rFonts w:hint="eastAsia" w:ascii="微软雅黑" w:hAnsi="微软雅黑" w:eastAsia="微软雅黑"/>
        </w:rPr>
        <w:t>资产发生状态变更时，需及时更新资产管理系统，确保资产实时状态与资产管理系统中的记录一致。</w:t>
      </w:r>
    </w:p>
    <w:p>
      <w:pPr>
        <w:numPr>
          <w:ilvl w:val="0"/>
          <w:numId w:val="9"/>
        </w:numPr>
        <w:ind w:left="1140"/>
        <w:rPr>
          <w:rFonts w:ascii="微软雅黑" w:hAnsi="微软雅黑" w:eastAsia="微软雅黑"/>
        </w:rPr>
      </w:pPr>
      <w:r>
        <w:rPr>
          <w:rFonts w:hint="eastAsia" w:ascii="微软雅黑" w:hAnsi="微软雅黑" w:eastAsia="微软雅黑"/>
        </w:rPr>
        <w:t>IDC机房资产须每6个月进行资产盘点，核对所有资产是否与资产管理系统中的记录一致，如不一致，以最终盘点时的状态为准，更新资产管理系统并作备注说明。</w:t>
      </w:r>
    </w:p>
    <w:p>
      <w:pPr>
        <w:pStyle w:val="2"/>
        <w:numPr>
          <w:ilvl w:val="0"/>
          <w:numId w:val="3"/>
        </w:numPr>
        <w:ind w:left="425" w:firstLine="0"/>
        <w:rPr>
          <w:rFonts w:ascii="微软雅黑" w:hAnsi="微软雅黑" w:eastAsia="微软雅黑"/>
        </w:rPr>
      </w:pPr>
      <w:bookmarkStart w:id="9" w:name="_Toc17599"/>
      <w:r>
        <w:rPr>
          <w:rFonts w:hint="eastAsia" w:ascii="微软雅黑" w:hAnsi="微软雅黑" w:eastAsia="微软雅黑"/>
        </w:rPr>
        <w:t>IDC机房应急管理</w:t>
      </w:r>
      <w:bookmarkEnd w:id="9"/>
    </w:p>
    <w:p>
      <w:pPr>
        <w:numPr>
          <w:ilvl w:val="0"/>
          <w:numId w:val="10"/>
        </w:numPr>
        <w:ind w:left="1140"/>
        <w:rPr>
          <w:rFonts w:ascii="微软雅黑" w:hAnsi="微软雅黑" w:eastAsia="微软雅黑"/>
        </w:rPr>
      </w:pPr>
      <w:r>
        <w:rPr>
          <w:rFonts w:ascii="微软雅黑" w:hAnsi="微软雅黑" w:eastAsia="微软雅黑"/>
        </w:rPr>
        <w:t>IDC</w:t>
      </w:r>
      <w:r>
        <w:rPr>
          <w:rFonts w:hint="eastAsia" w:ascii="微软雅黑" w:hAnsi="微软雅黑" w:eastAsia="微软雅黑"/>
        </w:rPr>
        <w:t>机房应急管理主要覆盖蓝队网络当前IDC机房的所有业务，包括但不仅限于虚拟主机、云主机、服务器租赁托管、CDN、数据库、域名管理及各类宿主服务器及集群。</w:t>
      </w:r>
    </w:p>
    <w:p>
      <w:pPr>
        <w:numPr>
          <w:ilvl w:val="0"/>
          <w:numId w:val="10"/>
        </w:numPr>
        <w:ind w:left="1140"/>
        <w:rPr>
          <w:rFonts w:ascii="微软雅黑" w:hAnsi="微软雅黑" w:eastAsia="微软雅黑"/>
        </w:rPr>
      </w:pPr>
      <w:r>
        <w:rPr>
          <w:rFonts w:hint="eastAsia" w:ascii="微软雅黑" w:hAnsi="微软雅黑" w:eastAsia="微软雅黑"/>
        </w:rPr>
        <w:t>IDC机房应急机制分为一线技术支持和二线技术支持，根据事件类型，一般情况下处理原则应遵循先由一线技术工程师处理，如短时间内无法正常修复，应立即上报部门主管，将事件问题升级到二线技术支持，并详细汇报事件问题所呈现的故障现象及已经所做的操作和排错方法，以便二线技术工程师节省重复操作时间在最短的时间内进行修复。</w:t>
      </w:r>
    </w:p>
    <w:p>
      <w:pPr>
        <w:numPr>
          <w:ilvl w:val="0"/>
          <w:numId w:val="10"/>
        </w:numPr>
        <w:ind w:left="1140"/>
        <w:rPr>
          <w:rFonts w:ascii="微软雅黑" w:hAnsi="微软雅黑" w:eastAsia="微软雅黑"/>
        </w:rPr>
      </w:pPr>
      <w:r>
        <w:rPr>
          <w:rFonts w:hint="eastAsia" w:ascii="微软雅黑" w:hAnsi="微软雅黑" w:eastAsia="微软雅黑"/>
        </w:rPr>
        <w:t>一线技术支持工程师应具备对所发生应急事件的快速判断能力，对于超出自己解决能力范围或是岗位职责范围外的事件，应立即上报部门主管，不得隐瞒不上报或是拖延上报以耽误事件解决时间，从而引发更大的故障或是灾难性事件。</w:t>
      </w:r>
    </w:p>
    <w:p>
      <w:pPr>
        <w:numPr>
          <w:ilvl w:val="0"/>
          <w:numId w:val="10"/>
        </w:numPr>
        <w:ind w:left="1140"/>
        <w:rPr>
          <w:rFonts w:ascii="微软雅黑" w:hAnsi="微软雅黑" w:eastAsia="微软雅黑"/>
        </w:rPr>
      </w:pPr>
      <w:r>
        <w:rPr>
          <w:rFonts w:hint="eastAsia" w:ascii="微软雅黑" w:hAnsi="微软雅黑" w:eastAsia="微软雅黑"/>
        </w:rPr>
        <w:t>重大事件或是影响范围大的事件，应在第一时间排除故障后，尽快查明根本原因，详细分析并找出解决方案，要详细记录和总结并收录于事件管理文档。</w:t>
      </w:r>
    </w:p>
    <w:p>
      <w:pPr>
        <w:numPr>
          <w:ilvl w:val="0"/>
          <w:numId w:val="10"/>
        </w:numPr>
        <w:ind w:left="1140"/>
        <w:rPr>
          <w:rFonts w:ascii="微软雅黑" w:hAnsi="微软雅黑" w:eastAsia="微软雅黑"/>
        </w:rPr>
      </w:pPr>
      <w:r>
        <w:rPr>
          <w:rFonts w:hint="eastAsia" w:ascii="微软雅黑" w:hAnsi="微软雅黑" w:eastAsia="微软雅黑"/>
        </w:rPr>
        <w:t>应急响应机制和紧急联系人，详情请参考</w:t>
      </w:r>
      <w:r>
        <w:rPr>
          <w:rFonts w:hint="eastAsia" w:ascii="微软雅黑" w:hAnsi="微软雅黑" w:eastAsia="微软雅黑"/>
          <w:b/>
        </w:rPr>
        <w:t>《蓝队网络应急处理紧急联系人》。</w:t>
      </w:r>
    </w:p>
    <w:p>
      <w:pPr>
        <w:numPr>
          <w:ilvl w:val="0"/>
          <w:numId w:val="1"/>
        </w:numPr>
        <w:jc w:val="left"/>
        <w:outlineLvl w:val="0"/>
        <w:rPr>
          <w:rFonts w:ascii="微软雅黑" w:hAnsi="微软雅黑" w:eastAsia="微软雅黑"/>
          <w:b/>
          <w:sz w:val="24"/>
          <w:szCs w:val="24"/>
        </w:rPr>
      </w:pPr>
      <w:bookmarkStart w:id="10" w:name="_Toc11323"/>
      <w:r>
        <w:rPr>
          <w:rFonts w:hint="eastAsia" w:ascii="微软雅黑" w:hAnsi="微软雅黑" w:eastAsia="微软雅黑"/>
          <w:b/>
          <w:sz w:val="24"/>
          <w:szCs w:val="24"/>
        </w:rPr>
        <w:t>处罚条例</w:t>
      </w:r>
      <w:bookmarkEnd w:id="10"/>
    </w:p>
    <w:p>
      <w:pPr>
        <w:numPr>
          <w:ilvl w:val="0"/>
          <w:numId w:val="11"/>
        </w:numPr>
        <w:rPr>
          <w:rFonts w:ascii="微软雅黑" w:hAnsi="微软雅黑" w:eastAsia="微软雅黑"/>
          <w:sz w:val="32"/>
        </w:rPr>
      </w:pPr>
      <w:r>
        <w:rPr>
          <w:rFonts w:hint="eastAsia" w:ascii="微软雅黑" w:hAnsi="微软雅黑" w:eastAsia="微软雅黑"/>
        </w:rPr>
        <w:t>为了统一规范和管理IDC业务，就技术部服务标准及流程两部分建立相关处罚条例</w:t>
      </w:r>
    </w:p>
    <w:p>
      <w:pPr>
        <w:numPr>
          <w:ilvl w:val="0"/>
          <w:numId w:val="11"/>
        </w:numPr>
        <w:rPr>
          <w:rFonts w:ascii="微软雅黑" w:hAnsi="微软雅黑" w:eastAsia="微软雅黑"/>
          <w:sz w:val="32"/>
        </w:rPr>
      </w:pPr>
      <w:r>
        <w:rPr>
          <w:rFonts w:hint="eastAsia" w:ascii="微软雅黑" w:hAnsi="微软雅黑" w:eastAsia="微软雅黑"/>
        </w:rPr>
        <w:t>本条例目前正在逐步完善中，当前执行生效日期为</w:t>
      </w:r>
      <w:r>
        <w:rPr>
          <w:rFonts w:hint="eastAsia" w:ascii="微软雅黑" w:hAnsi="微软雅黑" w:eastAsia="微软雅黑"/>
          <w:b/>
        </w:rPr>
        <w:t>2016年6月1日</w:t>
      </w:r>
    </w:p>
    <w:p>
      <w:pPr>
        <w:numPr>
          <w:ilvl w:val="0"/>
          <w:numId w:val="11"/>
        </w:numPr>
        <w:rPr>
          <w:rFonts w:ascii="微软雅黑" w:hAnsi="微软雅黑" w:eastAsia="微软雅黑"/>
          <w:sz w:val="32"/>
        </w:rPr>
      </w:pPr>
      <w:r>
        <w:rPr>
          <w:rFonts w:hint="eastAsia" w:ascii="微软雅黑" w:hAnsi="微软雅黑" w:eastAsia="微软雅黑"/>
        </w:rPr>
        <w:t>如有未尽相关事宜，将在以后补充完整，并讨论后发布重新</w:t>
      </w:r>
    </w:p>
    <w:p>
      <w:pPr>
        <w:numPr>
          <w:ilvl w:val="0"/>
          <w:numId w:val="11"/>
        </w:numPr>
        <w:rPr>
          <w:rFonts w:ascii="微软雅黑" w:hAnsi="微软雅黑" w:eastAsia="微软雅黑"/>
          <w:sz w:val="32"/>
        </w:rPr>
      </w:pPr>
      <w:r>
        <w:rPr>
          <w:rFonts w:hint="eastAsia" w:ascii="微软雅黑" w:hAnsi="微软雅黑" w:eastAsia="微软雅黑"/>
        </w:rPr>
        <w:t>具体相关规定，请参考</w:t>
      </w:r>
      <w:r>
        <w:rPr>
          <w:rFonts w:hint="eastAsia" w:ascii="微软雅黑" w:hAnsi="微软雅黑" w:eastAsia="微软雅黑"/>
          <w:b/>
        </w:rPr>
        <w:t>《技术部服务标准及流程处罚条例》</w:t>
      </w:r>
    </w:p>
    <w:p>
      <w:pPr>
        <w:numPr>
          <w:ilvl w:val="0"/>
          <w:numId w:val="1"/>
        </w:numPr>
        <w:jc w:val="left"/>
        <w:outlineLvl w:val="0"/>
        <w:rPr>
          <w:rFonts w:ascii="微软雅黑" w:hAnsi="微软雅黑" w:eastAsia="微软雅黑"/>
          <w:b/>
          <w:sz w:val="24"/>
          <w:szCs w:val="24"/>
        </w:rPr>
      </w:pPr>
      <w:bookmarkStart w:id="11" w:name="_Toc16091"/>
      <w:r>
        <w:rPr>
          <w:rFonts w:hint="eastAsia" w:ascii="微软雅黑" w:hAnsi="微软雅黑" w:eastAsia="微软雅黑"/>
          <w:b/>
          <w:sz w:val="24"/>
          <w:szCs w:val="24"/>
        </w:rPr>
        <w:t>附录</w:t>
      </w:r>
      <w:bookmarkEnd w:id="11"/>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rPr>
        <w:t>IDC机房服务管理流程</w:t>
      </w:r>
    </w:p>
    <w:p>
      <w:pPr>
        <w:ind w:left="210" w:leftChars="100"/>
        <w:jc w:val="left"/>
        <w:rPr>
          <w:rFonts w:ascii="微软雅黑" w:hAnsi="微软雅黑" w:eastAsia="微软雅黑"/>
          <w:sz w:val="24"/>
          <w:szCs w:val="24"/>
        </w:rPr>
      </w:pPr>
      <w:r>
        <w:rPr>
          <w:rFonts w:ascii="微软雅黑" w:hAnsi="微软雅黑" w:eastAsia="微软雅黑"/>
          <w:sz w:val="24"/>
          <w:szCs w:val="24"/>
        </w:rPr>
        <w:object>
          <v:shape id="_x0000_i1025" o:spt="75" type="#_x0000_t75" style="height:55.5pt;width:76.5pt;" o:ole="t" filled="f" o:preferrelative="t" stroked="f" coordsize="21600,21600">
            <v:path/>
            <v:fill on="f" focussize="0,0"/>
            <v:stroke on="f" joinstyle="miter"/>
            <v:imagedata r:id="rId5" o:title=""/>
            <o:lock v:ext="edit" aspectratio="t"/>
            <w10:wrap type="none"/>
            <w10:anchorlock/>
          </v:shape>
          <o:OLEObject Type="Embed" ProgID="AcroExch.Document.DC" ShapeID="_x0000_i1025" DrawAspect="Icon" ObjectID="_1468075725" r:id="rId4">
            <o:LockedField>false</o:LockedField>
          </o:OLEObject>
        </w:object>
      </w:r>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rPr>
        <w:t>IDC机房操作指导手册</w:t>
      </w:r>
    </w:p>
    <w:p>
      <w:pPr>
        <w:ind w:left="210" w:leftChars="100"/>
        <w:jc w:val="left"/>
        <w:rPr>
          <w:rFonts w:ascii="微软雅黑" w:hAnsi="微软雅黑" w:eastAsia="微软雅黑"/>
          <w:sz w:val="24"/>
          <w:szCs w:val="24"/>
        </w:rPr>
      </w:pPr>
      <w:r>
        <w:rPr>
          <w:rFonts w:ascii="微软雅黑" w:hAnsi="微软雅黑" w:eastAsia="微软雅黑"/>
          <w:sz w:val="24"/>
          <w:szCs w:val="24"/>
        </w:rPr>
        <w:object>
          <v:shape id="_x0000_i1026" o:spt="75" type="#_x0000_t75" style="height:55.5pt;width:76.5pt;" o:ole="t" filled="f" o:preferrelative="t" stroked="f" coordsize="21600,21600">
            <v:path/>
            <v:fill on="f" focussize="0,0"/>
            <v:stroke on="f" joinstyle="miter"/>
            <v:imagedata r:id="rId7" o:title=""/>
            <o:lock v:ext="edit" aspectratio="t"/>
            <w10:wrap type="none"/>
            <w10:anchorlock/>
          </v:shape>
          <o:OLEObject Type="Embed" ProgID="AcroExch.Document.DC" ShapeID="_x0000_i1026" DrawAspect="Icon" ObjectID="_1468075726" r:id="rId6">
            <o:LockedField>false</o:LockedField>
          </o:OLEObject>
        </w:object>
      </w:r>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rPr>
        <w:t>IDC机房网络管理流程</w:t>
      </w:r>
    </w:p>
    <w:p>
      <w:pPr>
        <w:ind w:left="210" w:leftChars="100"/>
        <w:jc w:val="left"/>
        <w:rPr>
          <w:rFonts w:ascii="微软雅黑" w:hAnsi="微软雅黑" w:eastAsia="微软雅黑"/>
          <w:sz w:val="24"/>
          <w:szCs w:val="24"/>
        </w:rPr>
      </w:pPr>
      <w:r>
        <w:rPr>
          <w:rFonts w:ascii="微软雅黑" w:hAnsi="微软雅黑" w:eastAsia="微软雅黑"/>
          <w:sz w:val="24"/>
          <w:szCs w:val="24"/>
        </w:rPr>
        <w:object>
          <v:shape id="_x0000_i1027" o:spt="75" type="#_x0000_t75" style="height:55.5pt;width:76.5pt;" o:ole="t" filled="f" o:preferrelative="t" stroked="f" coordsize="21600,21600">
            <v:path/>
            <v:fill on="f" focussize="0,0"/>
            <v:stroke on="f" joinstyle="miter"/>
            <v:imagedata r:id="rId9" o:title=""/>
            <o:lock v:ext="edit" aspectratio="t"/>
            <w10:wrap type="none"/>
            <w10:anchorlock/>
          </v:shape>
          <o:OLEObject Type="Embed" ProgID="AcroExch.Document.DC" ShapeID="_x0000_i1027" DrawAspect="Icon" ObjectID="_1468075727" r:id="rId8">
            <o:LockedField>false</o:LockedField>
          </o:OLEObject>
        </w:object>
      </w:r>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rPr>
        <w:t>IDC机房资产登记及管理</w:t>
      </w:r>
    </w:p>
    <w:p>
      <w:pPr>
        <w:ind w:left="210" w:leftChars="100"/>
        <w:jc w:val="left"/>
        <w:rPr>
          <w:rFonts w:ascii="微软雅黑" w:hAnsi="微软雅黑" w:eastAsia="微软雅黑"/>
          <w:i/>
          <w:sz w:val="24"/>
          <w:szCs w:val="24"/>
        </w:rPr>
      </w:pPr>
      <w:r>
        <w:rPr>
          <w:rFonts w:hint="eastAsia" w:ascii="微软雅黑" w:hAnsi="微软雅黑" w:eastAsia="微软雅黑"/>
          <w:i/>
          <w:sz w:val="24"/>
          <w:szCs w:val="24"/>
        </w:rPr>
        <w:t>正在准备中。。。。</w:t>
      </w:r>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rPr>
        <w:t>IDC机房应急处理紧急联系人</w:t>
      </w:r>
    </w:p>
    <w:p>
      <w:pPr>
        <w:ind w:left="210" w:leftChars="100"/>
        <w:jc w:val="left"/>
        <w:rPr>
          <w:rFonts w:ascii="微软雅黑" w:hAnsi="微软雅黑" w:eastAsia="微软雅黑"/>
          <w:sz w:val="24"/>
          <w:szCs w:val="24"/>
        </w:rPr>
      </w:pPr>
      <w:r>
        <w:rPr>
          <w:rFonts w:ascii="微软雅黑" w:hAnsi="微软雅黑" w:eastAsia="微软雅黑"/>
          <w:sz w:val="24"/>
          <w:szCs w:val="24"/>
        </w:rPr>
        <w:object>
          <v:shape id="_x0000_i1028" o:spt="75" type="#_x0000_t75" style="height:55.5pt;width:76.5pt;" o:ole="t" filled="f" o:preferrelative="t" stroked="f" coordsize="21600,21600">
            <v:path/>
            <v:fill on="f" focussize="0,0"/>
            <v:stroke on="f" joinstyle="miter"/>
            <v:imagedata r:id="rId11" o:title=""/>
            <o:lock v:ext="edit" aspectratio="t"/>
            <w10:wrap type="none"/>
            <w10:anchorlock/>
          </v:shape>
          <o:OLEObject Type="Embed" ProgID="AcroExch.Document.DC" ShapeID="_x0000_i1028" DrawAspect="Icon" ObjectID="_1468075728" r:id="rId10">
            <o:LockedField>false</o:LockedField>
          </o:OLEObject>
        </w:object>
      </w:r>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rPr>
        <w:t>维护通告流程</w:t>
      </w:r>
    </w:p>
    <w:p>
      <w:pPr>
        <w:ind w:left="210" w:leftChars="100"/>
        <w:jc w:val="left"/>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object>
          <v:shape id="_x0000_i1029"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9" DrawAspect="Icon" ObjectID="_1468075729" r:id="rId12">
            <o:LockedField>false</o:LockedField>
          </o:OLEObject>
        </w:object>
      </w:r>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rPr>
        <w:t>技术部服务用语及快捷回复规范</w:t>
      </w:r>
    </w:p>
    <w:p>
      <w:pPr>
        <w:ind w:left="210" w:leftChars="100"/>
        <w:jc w:val="left"/>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object>
          <v:shape id="_x0000_i1035" o:spt="75" type="#_x0000_t75" style="height:66pt;width:72.75pt;" o:ole="t" filled="f" o:preferrelative="t" stroked="f" coordsize="21600,21600">
            <v:fill on="f" focussize="0,0"/>
            <v:stroke on="f"/>
            <v:imagedata r:id="rId15" o:title=""/>
            <o:lock v:ext="edit" aspectratio="t"/>
            <w10:wrap type="none"/>
            <w10:anchorlock/>
          </v:shape>
          <o:OLEObject Type="Embed" ProgID="Word.Document.12" ShapeID="_x0000_i1035" DrawAspect="Icon" ObjectID="_1468075730" r:id="rId14">
            <o:LockedField>false</o:LockedField>
          </o:OLEObject>
        </w:object>
      </w:r>
      <w:r>
        <w:rPr>
          <w:rFonts w:hint="eastAsia" w:ascii="微软雅黑" w:hAnsi="微软雅黑" w:eastAsia="微软雅黑"/>
          <w:sz w:val="24"/>
          <w:szCs w:val="24"/>
          <w:lang w:eastAsia="zh-CN"/>
        </w:rPr>
        <w:object>
          <v:shape id="_x0000_i1036" o:spt="75" type="#_x0000_t75" style="height:66pt;width:72.75pt;" o:ole="t" filled="f" o:preferrelative="t" stroked="f" coordsize="21600,21600">
            <v:fill on="f" focussize="0,0"/>
            <v:stroke on="f"/>
            <v:imagedata r:id="rId17" o:title=""/>
            <o:lock v:ext="edit" aspectratio="t"/>
            <w10:wrap type="none"/>
            <w10:anchorlock/>
          </v:shape>
          <o:OLEObject Type="Embed" ProgID="Word.Document.8" ShapeID="_x0000_i1036" DrawAspect="Icon" ObjectID="_1468075731" r:id="rId16">
            <o:LockedField>false</o:LockedField>
          </o:OLEObject>
        </w:object>
      </w:r>
      <w:r>
        <w:rPr>
          <w:rFonts w:hint="eastAsia" w:ascii="微软雅黑" w:hAnsi="微软雅黑" w:eastAsia="微软雅黑"/>
          <w:sz w:val="24"/>
          <w:szCs w:val="24"/>
          <w:lang w:eastAsia="zh-CN"/>
        </w:rPr>
        <w:object>
          <v:shape id="_x0000_i1037" o:spt="75" type="#_x0000_t75" style="height:66pt;width:72.75pt;" o:ole="t" filled="f" o:preferrelative="t" stroked="f" coordsize="21600,21600">
            <v:fill on="f" focussize="0,0"/>
            <v:stroke on="f"/>
            <v:imagedata r:id="rId19" o:title=""/>
            <o:lock v:ext="edit" aspectratio="t"/>
            <w10:wrap type="none"/>
            <w10:anchorlock/>
          </v:shape>
          <o:OLEObject Type="Embed" ProgID="Word.Document.8" ShapeID="_x0000_i1037" DrawAspect="Icon" ObjectID="_1468075732" r:id="rId18">
            <o:LockedField>false</o:LockedField>
          </o:OLEObject>
        </w:object>
      </w:r>
      <w:bookmarkStart w:id="12" w:name="_GoBack"/>
      <w:bookmarkEnd w:id="12"/>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rPr>
        <w:t>技术部服务标准及流程处罚条例</w:t>
      </w:r>
    </w:p>
    <w:p>
      <w:pPr>
        <w:numPr>
          <w:ilvl w:val="0"/>
          <w:numId w:val="0"/>
        </w:numPr>
        <w:ind w:leftChars="100"/>
        <w:jc w:val="left"/>
        <w:rPr>
          <w:rFonts w:ascii="微软雅黑" w:hAnsi="微软雅黑" w:eastAsia="微软雅黑"/>
          <w:sz w:val="24"/>
          <w:szCs w:val="24"/>
        </w:rPr>
      </w:pPr>
      <w:r>
        <w:rPr>
          <w:rFonts w:hint="eastAsia" w:ascii="微软雅黑" w:hAnsi="微软雅黑" w:eastAsia="微软雅黑"/>
          <w:sz w:val="24"/>
          <w:szCs w:val="24"/>
          <w:lang w:eastAsia="zh-CN"/>
        </w:rPr>
        <w:object>
          <v:shape id="_x0000_i1033" o:spt="75" type="#_x0000_t75" style="height:66pt;width:72.75pt;" o:ole="t" filled="f" o:preferrelative="t" stroked="f" coordsize="21600,21600">
            <v:path/>
            <v:fill on="f" focussize="0,0"/>
            <v:stroke on="f"/>
            <v:imagedata r:id="rId21" o:title=""/>
            <o:lock v:ext="edit" aspectratio="t"/>
            <w10:wrap type="none"/>
            <w10:anchorlock/>
          </v:shape>
          <o:OLEObject Type="Embed" ProgID="Package" ShapeID="_x0000_i1033" DrawAspect="Icon" ObjectID="_1468075733" r:id="rId20">
            <o:LockedField>false</o:LockedField>
          </o:OLEObject>
        </w:object>
      </w:r>
    </w:p>
    <w:p>
      <w:pPr>
        <w:numPr>
          <w:ilvl w:val="0"/>
          <w:numId w:val="12"/>
        </w:numPr>
        <w:ind w:left="630" w:leftChars="100"/>
        <w:jc w:val="left"/>
        <w:rPr>
          <w:rFonts w:ascii="微软雅黑" w:hAnsi="微软雅黑" w:eastAsia="微软雅黑"/>
          <w:sz w:val="24"/>
          <w:szCs w:val="24"/>
        </w:rPr>
      </w:pPr>
      <w:r>
        <w:rPr>
          <w:rFonts w:hint="eastAsia" w:ascii="微软雅黑" w:hAnsi="微软雅黑" w:eastAsia="微软雅黑"/>
          <w:sz w:val="24"/>
          <w:szCs w:val="24"/>
          <w:lang w:val="en-US" w:eastAsia="zh-CN"/>
        </w:rPr>
        <w:t>蓝队网络工单处理规范</w:t>
      </w:r>
    </w:p>
    <w:p>
      <w:pPr>
        <w:numPr>
          <w:ilvl w:val="0"/>
          <w:numId w:val="0"/>
        </w:numPr>
        <w:ind w:leftChars="100"/>
        <w:jc w:val="left"/>
        <w:rPr>
          <w:rFonts w:ascii="微软雅黑" w:hAnsi="微软雅黑" w:eastAsia="微软雅黑"/>
          <w:sz w:val="24"/>
          <w:szCs w:val="24"/>
        </w:rPr>
      </w:pPr>
      <w:r>
        <w:rPr>
          <w:rFonts w:ascii="微软雅黑" w:hAnsi="微软雅黑" w:eastAsia="微软雅黑"/>
          <w:sz w:val="24"/>
          <w:szCs w:val="24"/>
        </w:rPr>
        <w:object>
          <v:shape id="_x0000_i1034" o:spt="75" type="#_x0000_t75" style="height:66pt;width:72.75pt;" o:ole="t" filled="f" o:preferrelative="t" stroked="f" coordsize="21600,21600">
            <v:path/>
            <v:fill on="f" focussize="0,0"/>
            <v:stroke on="f"/>
            <v:imagedata r:id="rId23" o:title=""/>
            <o:lock v:ext="edit" aspectratio="t"/>
            <w10:wrap type="none"/>
            <w10:anchorlock/>
          </v:shape>
          <o:OLEObject Type="Embed" ProgID="Package" ShapeID="_x0000_i1034" DrawAspect="Icon" ObjectID="_1468075734" r:id="rId22">
            <o:LockedField>false</o:LockedField>
          </o:OLEObject>
        </w:object>
      </w:r>
    </w:p>
    <w:p>
      <w:pPr>
        <w:ind w:left="210" w:leftChars="100"/>
        <w:jc w:val="left"/>
        <w:rPr>
          <w:rFonts w:hint="eastAsia" w:ascii="微软雅黑" w:hAnsi="微软雅黑" w:eastAsia="微软雅黑"/>
          <w:sz w:val="24"/>
          <w:szCs w:val="24"/>
          <w:lang w:eastAsia="zh-CN"/>
        </w:rPr>
      </w:pPr>
    </w:p>
    <w:p>
      <w:pPr>
        <w:rPr>
          <w:rFonts w:ascii="微软雅黑" w:hAnsi="微软雅黑" w:eastAsia="微软雅黑"/>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7269A"/>
    <w:multiLevelType w:val="multilevel"/>
    <w:tmpl w:val="2037269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A634277"/>
    <w:multiLevelType w:val="multilevel"/>
    <w:tmpl w:val="2A634277"/>
    <w:lvl w:ilvl="0" w:tentative="0">
      <w:start w:val="1"/>
      <w:numFmt w:val="decimal"/>
      <w:lvlText w:val="%1."/>
      <w:lvlJc w:val="left"/>
      <w:pPr>
        <w:ind w:left="720" w:hanging="360"/>
      </w:pPr>
      <w:rPr>
        <w:b w:val="0"/>
        <w:sz w:val="21"/>
        <w:szCs w:val="21"/>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DA419CA"/>
    <w:multiLevelType w:val="multilevel"/>
    <w:tmpl w:val="2DA419CA"/>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E672987"/>
    <w:multiLevelType w:val="multilevel"/>
    <w:tmpl w:val="3E672987"/>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0385B3B"/>
    <w:multiLevelType w:val="multilevel"/>
    <w:tmpl w:val="40385B3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29D354A"/>
    <w:multiLevelType w:val="multilevel"/>
    <w:tmpl w:val="429D354A"/>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3054799"/>
    <w:multiLevelType w:val="multilevel"/>
    <w:tmpl w:val="4305479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5BC7C63"/>
    <w:multiLevelType w:val="multilevel"/>
    <w:tmpl w:val="45BC7C6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74CFFCD"/>
    <w:multiLevelType w:val="singleLevel"/>
    <w:tmpl w:val="574CFFCD"/>
    <w:lvl w:ilvl="0" w:tentative="0">
      <w:start w:val="1"/>
      <w:numFmt w:val="decimal"/>
      <w:suff w:val="nothing"/>
      <w:lvlText w:val="%1．"/>
      <w:lvlJc w:val="left"/>
      <w:pPr>
        <w:ind w:left="0" w:firstLine="400"/>
      </w:pPr>
      <w:rPr>
        <w:rFonts w:hint="default"/>
      </w:rPr>
    </w:lvl>
  </w:abstractNum>
  <w:abstractNum w:abstractNumId="9">
    <w:nsid w:val="574D0122"/>
    <w:multiLevelType w:val="singleLevel"/>
    <w:tmpl w:val="574D0122"/>
    <w:lvl w:ilvl="0" w:tentative="0">
      <w:start w:val="1"/>
      <w:numFmt w:val="decimal"/>
      <w:suff w:val="nothing"/>
      <w:lvlText w:val="%1．"/>
      <w:lvlJc w:val="left"/>
      <w:pPr>
        <w:ind w:left="0" w:firstLine="400"/>
      </w:pPr>
      <w:rPr>
        <w:rFonts w:hint="default"/>
      </w:rPr>
    </w:lvl>
  </w:abstractNum>
  <w:abstractNum w:abstractNumId="10">
    <w:nsid w:val="6B8D4916"/>
    <w:multiLevelType w:val="multilevel"/>
    <w:tmpl w:val="6B8D4916"/>
    <w:lvl w:ilvl="0" w:tentative="0">
      <w:start w:val="1"/>
      <w:numFmt w:val="decimal"/>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7886364"/>
    <w:multiLevelType w:val="multilevel"/>
    <w:tmpl w:val="7788636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9"/>
  </w:num>
  <w:num w:numId="3">
    <w:abstractNumId w:val="8"/>
  </w:num>
  <w:num w:numId="4">
    <w:abstractNumId w:val="7"/>
  </w:num>
  <w:num w:numId="5">
    <w:abstractNumId w:val="4"/>
  </w:num>
  <w:num w:numId="6">
    <w:abstractNumId w:val="3"/>
  </w:num>
  <w:num w:numId="7">
    <w:abstractNumId w:val="2"/>
  </w:num>
  <w:num w:numId="8">
    <w:abstractNumId w:val="0"/>
  </w:num>
  <w:num w:numId="9">
    <w:abstractNumId w:val="11"/>
  </w:num>
  <w:num w:numId="10">
    <w:abstractNumId w:val="6"/>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7B21"/>
    <w:rsid w:val="00052700"/>
    <w:rsid w:val="00054602"/>
    <w:rsid w:val="00073A3F"/>
    <w:rsid w:val="000D491A"/>
    <w:rsid w:val="000D5B31"/>
    <w:rsid w:val="001023B4"/>
    <w:rsid w:val="00164458"/>
    <w:rsid w:val="00172A27"/>
    <w:rsid w:val="00195A79"/>
    <w:rsid w:val="001E58F0"/>
    <w:rsid w:val="00217387"/>
    <w:rsid w:val="0023790F"/>
    <w:rsid w:val="00270A96"/>
    <w:rsid w:val="002959CC"/>
    <w:rsid w:val="002B016A"/>
    <w:rsid w:val="002D1636"/>
    <w:rsid w:val="00304717"/>
    <w:rsid w:val="003404B9"/>
    <w:rsid w:val="003A185F"/>
    <w:rsid w:val="003A2BDD"/>
    <w:rsid w:val="003A60E4"/>
    <w:rsid w:val="003C18BC"/>
    <w:rsid w:val="003C2C4F"/>
    <w:rsid w:val="003E32C1"/>
    <w:rsid w:val="00424972"/>
    <w:rsid w:val="00494284"/>
    <w:rsid w:val="004B5E67"/>
    <w:rsid w:val="004F599D"/>
    <w:rsid w:val="00513BCA"/>
    <w:rsid w:val="00563188"/>
    <w:rsid w:val="0059007A"/>
    <w:rsid w:val="005D60BF"/>
    <w:rsid w:val="00640174"/>
    <w:rsid w:val="0067520A"/>
    <w:rsid w:val="006B0253"/>
    <w:rsid w:val="006B71B7"/>
    <w:rsid w:val="00703462"/>
    <w:rsid w:val="00745045"/>
    <w:rsid w:val="007660DE"/>
    <w:rsid w:val="00773685"/>
    <w:rsid w:val="007A1E92"/>
    <w:rsid w:val="0080388C"/>
    <w:rsid w:val="00804C2F"/>
    <w:rsid w:val="008103F7"/>
    <w:rsid w:val="00843D9C"/>
    <w:rsid w:val="00877981"/>
    <w:rsid w:val="00901B0D"/>
    <w:rsid w:val="0092220C"/>
    <w:rsid w:val="009357CB"/>
    <w:rsid w:val="00940188"/>
    <w:rsid w:val="00985A1E"/>
    <w:rsid w:val="00986217"/>
    <w:rsid w:val="009B7636"/>
    <w:rsid w:val="009F43E8"/>
    <w:rsid w:val="00A06BE1"/>
    <w:rsid w:val="00A70D53"/>
    <w:rsid w:val="00A81E7C"/>
    <w:rsid w:val="00AC5432"/>
    <w:rsid w:val="00B05573"/>
    <w:rsid w:val="00B23799"/>
    <w:rsid w:val="00B9149B"/>
    <w:rsid w:val="00B92AAF"/>
    <w:rsid w:val="00B96EF7"/>
    <w:rsid w:val="00BC25AA"/>
    <w:rsid w:val="00BE64B5"/>
    <w:rsid w:val="00C2187F"/>
    <w:rsid w:val="00C424EA"/>
    <w:rsid w:val="00C43F6F"/>
    <w:rsid w:val="00C5598A"/>
    <w:rsid w:val="00C64B59"/>
    <w:rsid w:val="00C74AC4"/>
    <w:rsid w:val="00D265A1"/>
    <w:rsid w:val="00D54B44"/>
    <w:rsid w:val="00DD086B"/>
    <w:rsid w:val="00DF6C44"/>
    <w:rsid w:val="00E26A04"/>
    <w:rsid w:val="00ED22F9"/>
    <w:rsid w:val="00EE5B55"/>
    <w:rsid w:val="00F10A49"/>
    <w:rsid w:val="00F13F88"/>
    <w:rsid w:val="00F2437C"/>
    <w:rsid w:val="00FC31DF"/>
    <w:rsid w:val="00FE6387"/>
    <w:rsid w:val="0A6873D8"/>
    <w:rsid w:val="4F94715A"/>
    <w:rsid w:val="6FC73E5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9"/>
    <w:qFormat/>
    <w:uiPriority w:val="9"/>
    <w:pPr>
      <w:keepNext/>
      <w:spacing w:before="240" w:after="60"/>
      <w:outlineLvl w:val="0"/>
    </w:pPr>
    <w:rPr>
      <w:rFonts w:ascii="Calibri Light" w:hAnsi="Calibri Light" w:eastAsia="等线 Light"/>
      <w:b/>
      <w:bCs/>
      <w:kern w:val="32"/>
      <w:sz w:val="32"/>
      <w:szCs w:val="32"/>
    </w:rPr>
  </w:style>
  <w:style w:type="paragraph" w:styleId="3">
    <w:name w:val="heading 2"/>
    <w:basedOn w:val="1"/>
    <w:next w:val="1"/>
    <w:link w:val="28"/>
    <w:qFormat/>
    <w:uiPriority w:val="9"/>
    <w:pPr>
      <w:keepNext/>
      <w:spacing w:before="240" w:after="60"/>
      <w:outlineLvl w:val="1"/>
    </w:pPr>
    <w:rPr>
      <w:rFonts w:ascii="Calibri Light" w:hAnsi="Calibri Light" w:eastAsia="等线 Light"/>
      <w:b/>
      <w:bCs/>
      <w:i/>
      <w:iCs/>
      <w:sz w:val="28"/>
      <w:szCs w:val="28"/>
    </w:rPr>
  </w:style>
  <w:style w:type="paragraph" w:styleId="4">
    <w:name w:val="heading 3"/>
    <w:basedOn w:val="1"/>
    <w:next w:val="1"/>
    <w:link w:val="25"/>
    <w:qFormat/>
    <w:uiPriority w:val="9"/>
    <w:pPr>
      <w:keepNext/>
      <w:spacing w:before="240" w:after="60"/>
      <w:outlineLvl w:val="2"/>
    </w:pPr>
    <w:rPr>
      <w:rFonts w:ascii="Calibri Light" w:hAnsi="Calibri Light" w:eastAsia="等线 Light"/>
      <w:b/>
      <w:bCs/>
      <w:sz w:val="26"/>
      <w:szCs w:val="26"/>
    </w:rPr>
  </w:style>
  <w:style w:type="paragraph" w:styleId="5">
    <w:name w:val="heading 4"/>
    <w:basedOn w:val="1"/>
    <w:next w:val="1"/>
    <w:link w:val="26"/>
    <w:qFormat/>
    <w:uiPriority w:val="9"/>
    <w:pPr>
      <w:keepNext/>
      <w:spacing w:before="240" w:after="60"/>
      <w:outlineLvl w:val="3"/>
    </w:pPr>
    <w:rPr>
      <w:rFonts w:ascii="Calibri" w:hAnsi="Calibri" w:eastAsia="等线"/>
      <w:b/>
      <w:bCs/>
      <w:sz w:val="28"/>
      <w:szCs w:val="28"/>
    </w:rPr>
  </w:style>
  <w:style w:type="paragraph" w:styleId="6">
    <w:name w:val="heading 5"/>
    <w:basedOn w:val="1"/>
    <w:next w:val="1"/>
    <w:link w:val="24"/>
    <w:qFormat/>
    <w:uiPriority w:val="9"/>
    <w:pPr>
      <w:spacing w:before="240" w:after="60"/>
      <w:outlineLvl w:val="4"/>
    </w:pPr>
    <w:rPr>
      <w:rFonts w:ascii="Calibri" w:hAnsi="Calibri" w:eastAsia="等线"/>
      <w:b/>
      <w:bCs/>
      <w:i/>
      <w:iCs/>
      <w:sz w:val="26"/>
      <w:szCs w:val="26"/>
    </w:rPr>
  </w:style>
  <w:style w:type="paragraph" w:styleId="7">
    <w:name w:val="heading 6"/>
    <w:basedOn w:val="1"/>
    <w:next w:val="1"/>
    <w:link w:val="27"/>
    <w:qFormat/>
    <w:uiPriority w:val="9"/>
    <w:pPr>
      <w:spacing w:before="240" w:after="60"/>
      <w:outlineLvl w:val="5"/>
    </w:pPr>
    <w:rPr>
      <w:rFonts w:ascii="Calibri" w:hAnsi="Calibri" w:eastAsia="等线"/>
      <w:b/>
      <w:bCs/>
      <w:sz w:val="22"/>
      <w:szCs w:val="22"/>
    </w:rPr>
  </w:style>
  <w:style w:type="paragraph" w:styleId="8">
    <w:name w:val="heading 7"/>
    <w:basedOn w:val="1"/>
    <w:next w:val="1"/>
    <w:link w:val="32"/>
    <w:qFormat/>
    <w:uiPriority w:val="9"/>
    <w:pPr>
      <w:spacing w:before="240" w:after="60"/>
      <w:outlineLvl w:val="6"/>
    </w:pPr>
    <w:rPr>
      <w:rFonts w:ascii="Calibri" w:hAnsi="Calibri" w:eastAsia="等线"/>
      <w:sz w:val="24"/>
      <w:szCs w:val="24"/>
    </w:rPr>
  </w:style>
  <w:style w:type="paragraph" w:styleId="9">
    <w:name w:val="heading 8"/>
    <w:basedOn w:val="1"/>
    <w:next w:val="1"/>
    <w:link w:val="31"/>
    <w:qFormat/>
    <w:uiPriority w:val="9"/>
    <w:pPr>
      <w:spacing w:before="240" w:after="60"/>
      <w:outlineLvl w:val="7"/>
    </w:pPr>
    <w:rPr>
      <w:rFonts w:ascii="Calibri" w:hAnsi="Calibri" w:eastAsia="等线"/>
      <w:i/>
      <w:iCs/>
      <w:sz w:val="24"/>
      <w:szCs w:val="24"/>
    </w:rPr>
  </w:style>
  <w:style w:type="paragraph" w:styleId="10">
    <w:name w:val="heading 9"/>
    <w:basedOn w:val="1"/>
    <w:next w:val="1"/>
    <w:link w:val="30"/>
    <w:qFormat/>
    <w:uiPriority w:val="9"/>
    <w:pPr>
      <w:spacing w:before="240" w:after="60"/>
      <w:outlineLvl w:val="8"/>
    </w:pPr>
    <w:rPr>
      <w:rFonts w:ascii="Calibri Light" w:hAnsi="Calibri Light" w:eastAsia="等线 Light"/>
      <w:sz w:val="22"/>
      <w:szCs w:val="22"/>
    </w:rPr>
  </w:style>
  <w:style w:type="character" w:default="1" w:styleId="22">
    <w:name w:val="Default Paragraph Font"/>
    <w:unhideWhenUsed/>
    <w:qFormat/>
    <w:uiPriority w:val="1"/>
  </w:style>
  <w:style w:type="table" w:default="1" w:styleId="23">
    <w:name w:val="Normal Table"/>
    <w:unhideWhenUsed/>
    <w:uiPriority w:val="99"/>
    <w:tblPr>
      <w:tblLayout w:type="fixed"/>
      <w:tblCellMar>
        <w:top w:w="0" w:type="dxa"/>
        <w:left w:w="108" w:type="dxa"/>
        <w:bottom w:w="0" w:type="dxa"/>
        <w:right w:w="108" w:type="dxa"/>
      </w:tblCellMar>
    </w:tblPr>
  </w:style>
  <w:style w:type="paragraph" w:styleId="11">
    <w:name w:val="toc 7"/>
    <w:basedOn w:val="1"/>
    <w:next w:val="1"/>
    <w:unhideWhenUsed/>
    <w:uiPriority w:val="39"/>
    <w:pPr>
      <w:ind w:left="2520" w:leftChars="1200"/>
    </w:pPr>
  </w:style>
  <w:style w:type="paragraph" w:styleId="12">
    <w:name w:val="toc 5"/>
    <w:basedOn w:val="1"/>
    <w:next w:val="1"/>
    <w:unhideWhenUsed/>
    <w:qFormat/>
    <w:uiPriority w:val="39"/>
    <w:pPr>
      <w:ind w:left="1680" w:leftChars="800"/>
    </w:pPr>
  </w:style>
  <w:style w:type="paragraph" w:styleId="13">
    <w:name w:val="toc 3"/>
    <w:basedOn w:val="1"/>
    <w:next w:val="1"/>
    <w:unhideWhenUsed/>
    <w:qFormat/>
    <w:uiPriority w:val="39"/>
    <w:pPr>
      <w:ind w:left="840" w:leftChars="400"/>
    </w:pPr>
  </w:style>
  <w:style w:type="paragraph" w:styleId="14">
    <w:name w:val="toc 8"/>
    <w:basedOn w:val="1"/>
    <w:next w:val="1"/>
    <w:unhideWhenUsed/>
    <w:uiPriority w:val="39"/>
    <w:pPr>
      <w:ind w:left="2940" w:leftChars="1400"/>
    </w:p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unhideWhenUsed/>
    <w:uiPriority w:val="39"/>
  </w:style>
  <w:style w:type="paragraph" w:styleId="18">
    <w:name w:val="toc 4"/>
    <w:basedOn w:val="1"/>
    <w:next w:val="1"/>
    <w:unhideWhenUsed/>
    <w:qFormat/>
    <w:uiPriority w:val="39"/>
    <w:pPr>
      <w:ind w:left="1260" w:leftChars="600"/>
    </w:pPr>
  </w:style>
  <w:style w:type="paragraph" w:styleId="19">
    <w:name w:val="toc 6"/>
    <w:basedOn w:val="1"/>
    <w:next w:val="1"/>
    <w:unhideWhenUsed/>
    <w:uiPriority w:val="39"/>
    <w:pPr>
      <w:ind w:left="2100" w:leftChars="1000"/>
    </w:pPr>
  </w:style>
  <w:style w:type="paragraph" w:styleId="20">
    <w:name w:val="toc 2"/>
    <w:basedOn w:val="1"/>
    <w:next w:val="1"/>
    <w:unhideWhenUsed/>
    <w:uiPriority w:val="39"/>
    <w:pPr>
      <w:ind w:left="420" w:leftChars="200"/>
    </w:pPr>
  </w:style>
  <w:style w:type="paragraph" w:styleId="21">
    <w:name w:val="toc 9"/>
    <w:basedOn w:val="1"/>
    <w:next w:val="1"/>
    <w:unhideWhenUsed/>
    <w:uiPriority w:val="39"/>
    <w:pPr>
      <w:ind w:left="3360" w:leftChars="1600"/>
    </w:pPr>
  </w:style>
  <w:style w:type="character" w:customStyle="1" w:styleId="24">
    <w:name w:val="标题 5 字符"/>
    <w:link w:val="6"/>
    <w:semiHidden/>
    <w:qFormat/>
    <w:uiPriority w:val="9"/>
    <w:rPr>
      <w:rFonts w:ascii="Calibri" w:hAnsi="Calibri" w:eastAsia="等线" w:cs="Times New Roman"/>
      <w:b/>
      <w:bCs/>
      <w:i/>
      <w:iCs/>
      <w:kern w:val="2"/>
      <w:sz w:val="26"/>
      <w:szCs w:val="26"/>
    </w:rPr>
  </w:style>
  <w:style w:type="character" w:customStyle="1" w:styleId="25">
    <w:name w:val="标题 3 字符"/>
    <w:link w:val="4"/>
    <w:semiHidden/>
    <w:uiPriority w:val="9"/>
    <w:rPr>
      <w:rFonts w:ascii="Calibri Light" w:hAnsi="Calibri Light" w:eastAsia="等线 Light" w:cs="Times New Roman"/>
      <w:b/>
      <w:bCs/>
      <w:kern w:val="2"/>
      <w:sz w:val="26"/>
      <w:szCs w:val="26"/>
    </w:rPr>
  </w:style>
  <w:style w:type="character" w:customStyle="1" w:styleId="26">
    <w:name w:val="标题 4 字符"/>
    <w:link w:val="5"/>
    <w:semiHidden/>
    <w:qFormat/>
    <w:uiPriority w:val="9"/>
    <w:rPr>
      <w:rFonts w:ascii="Calibri" w:hAnsi="Calibri" w:eastAsia="等线" w:cs="Times New Roman"/>
      <w:b/>
      <w:bCs/>
      <w:kern w:val="2"/>
      <w:sz w:val="28"/>
      <w:szCs w:val="28"/>
    </w:rPr>
  </w:style>
  <w:style w:type="character" w:customStyle="1" w:styleId="27">
    <w:name w:val="标题 6 字符"/>
    <w:link w:val="7"/>
    <w:semiHidden/>
    <w:qFormat/>
    <w:uiPriority w:val="9"/>
    <w:rPr>
      <w:rFonts w:ascii="Calibri" w:hAnsi="Calibri" w:eastAsia="等线" w:cs="Times New Roman"/>
      <w:b/>
      <w:bCs/>
      <w:kern w:val="2"/>
      <w:sz w:val="22"/>
      <w:szCs w:val="22"/>
    </w:rPr>
  </w:style>
  <w:style w:type="character" w:customStyle="1" w:styleId="28">
    <w:name w:val="标题 2 字符"/>
    <w:link w:val="3"/>
    <w:semiHidden/>
    <w:uiPriority w:val="9"/>
    <w:rPr>
      <w:rFonts w:ascii="Calibri Light" w:hAnsi="Calibri Light" w:eastAsia="等线 Light" w:cs="Times New Roman"/>
      <w:b/>
      <w:bCs/>
      <w:i/>
      <w:iCs/>
      <w:kern w:val="2"/>
      <w:sz w:val="28"/>
      <w:szCs w:val="28"/>
    </w:rPr>
  </w:style>
  <w:style w:type="character" w:customStyle="1" w:styleId="29">
    <w:name w:val="标题 1 字符"/>
    <w:link w:val="2"/>
    <w:qFormat/>
    <w:uiPriority w:val="9"/>
    <w:rPr>
      <w:rFonts w:ascii="Calibri Light" w:hAnsi="Calibri Light" w:eastAsia="等线 Light" w:cs="Times New Roman"/>
      <w:b/>
      <w:bCs/>
      <w:kern w:val="32"/>
      <w:sz w:val="32"/>
      <w:szCs w:val="32"/>
    </w:rPr>
  </w:style>
  <w:style w:type="character" w:customStyle="1" w:styleId="30">
    <w:name w:val="标题 9 字符"/>
    <w:link w:val="10"/>
    <w:semiHidden/>
    <w:uiPriority w:val="9"/>
    <w:rPr>
      <w:rFonts w:ascii="Calibri Light" w:hAnsi="Calibri Light" w:eastAsia="等线 Light" w:cs="Times New Roman"/>
      <w:kern w:val="2"/>
      <w:sz w:val="22"/>
      <w:szCs w:val="22"/>
    </w:rPr>
  </w:style>
  <w:style w:type="character" w:customStyle="1" w:styleId="31">
    <w:name w:val="标题 8 字符"/>
    <w:link w:val="9"/>
    <w:semiHidden/>
    <w:uiPriority w:val="9"/>
    <w:rPr>
      <w:rFonts w:ascii="Calibri" w:hAnsi="Calibri" w:eastAsia="等线" w:cs="Times New Roman"/>
      <w:i/>
      <w:iCs/>
      <w:kern w:val="2"/>
      <w:sz w:val="24"/>
      <w:szCs w:val="24"/>
    </w:rPr>
  </w:style>
  <w:style w:type="character" w:customStyle="1" w:styleId="32">
    <w:name w:val="标题 7 字符"/>
    <w:link w:val="8"/>
    <w:semiHidden/>
    <w:uiPriority w:val="9"/>
    <w:rPr>
      <w:rFonts w:ascii="Calibri" w:hAnsi="Calibri" w:eastAsia="等线" w:cs="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3975</Words>
  <Characters>1126</Characters>
  <Lines>9</Lines>
  <Paragraphs>10</Paragraphs>
  <ScaleCrop>false</ScaleCrop>
  <LinksUpToDate>false</LinksUpToDate>
  <CharactersWithSpaces>5091</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2016-05-31T09:05:00Z</dcterms:created>
  <dc:creator>Andy Tang</dc:creator>
  <cp:lastModifiedBy>yongt</cp:lastModifiedBy>
  <cp:lastPrinted>2016-05-31T02:55:00Z</cp:lastPrinted>
  <dcterms:modified xsi:type="dcterms:W3CDTF">2016-08-05T03:51:15Z</dcterms:modified>
  <dc:title>IDC机房管理制度</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